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bookmarkStart w:id="0" w:name="_GoBack"/>
      <w:r>
        <w:rPr>
          <w:rFonts w:hint="eastAsia" w:ascii="微软雅黑" w:hAnsi="微软雅黑" w:eastAsia="微软雅黑" w:cs="微软雅黑"/>
          <w:i w:val="0"/>
          <w:iCs w:val="0"/>
          <w:caps w:val="0"/>
          <w:color w:val="000000"/>
          <w:spacing w:val="0"/>
          <w:sz w:val="48"/>
          <w:szCs w:val="48"/>
          <w:bdr w:val="none" w:color="auto" w:sz="0" w:space="0"/>
        </w:rPr>
        <w:t>广西中医药大学2022年</w:t>
      </w:r>
      <w:r>
        <w:rPr>
          <w:rFonts w:hint="eastAsia" w:ascii="微软雅黑" w:hAnsi="微软雅黑" w:eastAsia="微软雅黑" w:cs="微软雅黑"/>
          <w:i w:val="0"/>
          <w:iCs w:val="0"/>
          <w:caps w:val="0"/>
          <w:color w:val="000000"/>
          <w:spacing w:val="0"/>
          <w:sz w:val="48"/>
          <w:szCs w:val="48"/>
          <w:bdr w:val="none" w:color="auto" w:sz="0" w:space="0"/>
          <w:lang w:val="en-US" w:eastAsia="zh-CN"/>
        </w:rPr>
        <w:t>引进</w:t>
      </w:r>
      <w:r>
        <w:rPr>
          <w:rFonts w:hint="eastAsia" w:ascii="微软雅黑" w:hAnsi="微软雅黑" w:eastAsia="微软雅黑" w:cs="微软雅黑"/>
          <w:i w:val="0"/>
          <w:iCs w:val="0"/>
          <w:caps w:val="0"/>
          <w:color w:val="000000"/>
          <w:spacing w:val="0"/>
          <w:sz w:val="48"/>
          <w:szCs w:val="48"/>
          <w:bdr w:val="none" w:color="auto" w:sz="0" w:space="0"/>
        </w:rPr>
        <w:t>公告</w:t>
      </w:r>
      <w:bookmarkEnd w:id="0"/>
    </w:p>
    <w:p>
      <w:pPr>
        <w:keepNext w:val="0"/>
        <w:keepLines w:val="0"/>
        <w:widowControl/>
        <w:suppressLineNumbers w:val="0"/>
        <w:pBdr>
          <w:top w:val="none" w:color="auto" w:sz="0" w:space="0"/>
          <w:left w:val="none" w:color="auto" w:sz="0" w:space="0"/>
          <w:bottom w:val="single" w:color="E0E0E0" w:sz="6" w:space="7"/>
          <w:right w:val="none" w:color="auto" w:sz="0" w:space="0"/>
        </w:pBdr>
        <w:spacing w:before="0" w:beforeAutospacing="0" w:after="225"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"https://www.gxszw.com/zhaopin/gxzyy/52429.html" \o "广西中医药大学2022年引进高层次"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2022年引进高层次领军人才及113名博士公告</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21"/>
          <w:szCs w:val="21"/>
          <w:bdr w:val="none" w:color="auto" w:sz="0" w:space="0"/>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根据《广西壮族自治区事业单位公开招聘人员实施办法》(桂人社发〔2011〕155号)及《广西壮族自治区人力资源和社会保障厅关于落实“放管服”改革精简事业单位增人手续的通知》(桂人社规〔2018〕27号)等精神，结合实际工作需要，2022年我校面向国内外</w:t>
      </w:r>
      <w:r>
        <w:rPr>
          <w:rStyle w:val="11"/>
          <w:rFonts w:hint="eastAsia" w:ascii="微软雅黑" w:hAnsi="微软雅黑" w:eastAsia="微软雅黑" w:cs="微软雅黑"/>
          <w:i w:val="0"/>
          <w:iCs w:val="0"/>
          <w:caps w:val="0"/>
          <w:color w:val="000000"/>
          <w:spacing w:val="0"/>
          <w:sz w:val="21"/>
          <w:szCs w:val="21"/>
          <w:bdr w:val="none" w:color="auto" w:sz="0" w:space="0"/>
        </w:rPr>
        <w:t>引进高层次人才团队及领军人才若干名，公开招聘博士113名。</w:t>
      </w:r>
      <w:r>
        <w:rPr>
          <w:rFonts w:hint="eastAsia" w:ascii="微软雅黑" w:hAnsi="微软雅黑" w:eastAsia="微软雅黑" w:cs="微软雅黑"/>
          <w:i w:val="0"/>
          <w:iCs w:val="0"/>
          <w:caps w:val="0"/>
          <w:color w:val="000000"/>
          <w:spacing w:val="0"/>
          <w:sz w:val="21"/>
          <w:szCs w:val="21"/>
          <w:bdr w:val="none" w:color="auto" w:sz="0" w:space="0"/>
        </w:rPr>
        <w:t>现公告如下：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B6642"/>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7B6642"/>
        </w:rPr>
        <w:t>一、学校简介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广西中医药大学创建于1956年，其前身是1934年成立的广西省立南宁区医药研究所，是我国5个少数民族自治区中唯一独立建制的高等中医药院校。2012年3月经国家教育部批准正式更名为广西中医药大学，也是国家中西部基础能力建设高校及国家中医药管理局与广西壮族自治区共建高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以中医药学科为主，医、理、工、管等多学科协调发展，具有鲜明中医药、民族医药特色，产学研医紧密结合、对外交流合作优势突出，有仙葫、明秀2个校区，总占地面积1310.99亩。设有14个学院，3个直属公共教学部。有14所附属医院(其中直属附属医院3所，地方附属医院11所),1所附设中医学校，1家校办制药厂，1所独立学院。有重阳城老年公寓等一批在全国行业内有一定影响力的产学研基地和教学实践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人才培养成效显著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牢固树立“立德树人”的育人观，大力实施“人才强校、质量兴校”战略。学校拥有一支教学经验丰富、结构合理的师资队伍，有本科专业27个，其中有国家综合改革试点专业1个、国家级特色专业3个、卓越医生(中医)教育培养计划改革试点项目2个、省级优质特色专业(群)9个、省级特色专业及实验实训教学基地(中心)一体化建设项目8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学科建设稳步发展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是博士学位授予单位，有博士学位授权一级学科1个、硕士学位授权一级学科6个，博士专业学位类别1个、硕士专业学位类别4个，二级学科硕士学位授权学科43个，是硕士研究生推免资格高校;有国家临床重点专科11个，国家中医药管理局中医药重点学科15个，国家中医药管理局中医药重点培育学科4个，国家中医药管理局重点专科13个，国家中医药管理局重点培育专科4个;有广西一流学科(含培育)3个，广西优势特色重点学科4个，广西重点学科6个，广西民族院校特色学科1个;广西中医药重点学科(含培育)55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科学研究成果丰硕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以中医药、壮瑶医药研究为重点，加强科研创新基地与科技创新平台建设，广西中医药科学实验中心是全国中医药民族医药最大的创新共享平台之一。有1个中-泰传统药物研究联合实验室、1个中—澳传统药物现代研究联合研究实验室、1个中—加斑马鱼中药筛选联合实验室、1个中国-东盟传统药物研究国际合作联合实验室，4个国家中医药管理局中医药科研三级重点实验室，4个广西壮族自治区重点实验室，广西高校重点实验室8个(含培育)，广西卫生健康委员会重点实验室4个(含培育)。拥有广西首批“2011协同创新中心”各1个，广西“2011协同创新中心”建设基地2个、校地校企共建科技创新平台3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社会服务优势明显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以第一附属医院、附属瑞康医院、制药厂为依托，学校有36个国药准字号药品、200多种院内制剂、10多种成果转化产品。近年来，学校利用中药药效筛选实验室等省级重点实验室和两所直属附属医院的“国家药品临床研究基地”等系列技术平台，学校先后为区内外25个省区的100多家医药企业、科研院所或个人提供技术服务，完成了上百个中医药品种的处方论证、毒理试验、药效筛选与评价等研究，产生了很好的经济效益和社会效益。同时学校还提供原料检测、中药质量真伪优劣评价，中药农药残留等技术服务，建立起中医药科技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文化传承创新显特色</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学校循本而开弘，始终把文化的传承与创新作为自己的历史使命。近年来，学校重点建设了一批特色鲜明、实力雄厚的人文学科研究基地，促进文物和非物质文化遗产保护。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学校对壮医药进行挖掘研究，挖掘整理了一批以壮医药线点灸为代表的临床诊疗技术，创立了壮药质量标准体系。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国际交流合作广泛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是国家中医药管理局中国—东盟传统医药交流合作中心人才培养基地。学校充分利用自身的办学特色和优势服务国家“一带一路”倡议，积极推进与其他国家在中医药民族医药、医疗保健、人才培养、科研开发等方面的合作交流，形成以东盟国家及港澳台地区为中心、辐射全球的对外教育新格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将秉承“弘毅自强，传承创新”的校训精神，不断提升学校的核心竞争力和办学水平，立足广西、面向全国、辐射东盟、走向世界，力争建设成为以中医中药学科为主体，医、理、工、管兼容，产学研结合突出、民族医药特色鲜明、人文精神高贵的国内知名、区域一流的综合性中医药大学，成为培养综合素质高、创新创业能力强的应用型中医药民族医药人才及其他复合型人才的重要基地，成为壮瑶等民族医药科研创新及其文化传播中心，成为促进区域医疗健康产业发展的主要力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B6642"/>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7B6642"/>
        </w:rPr>
        <w:t>二、基本条件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(一)遵守中华人民共和国宪法和法律，热爱高等教育事业;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(二)品行良好，具有良好的团队协作精神;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(三)身体健康，具备岗位要求的条件;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(四)具有博士学位(含2022年12月30日前取得博士学位者);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(五)年龄原则上不超过50岁(时间计算到本次招聘报名截止日，对年龄有特别要求的岗位，以招聘岗位要求为准，高层次领军人才可适当放宽);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(六)具有下列情形之一的人员，不得报考: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1.受到党纪、政纪处分未解除者;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2.受刑事处罚或正在接受司法调查尚未做出结论的人员;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4.法律规定不得招聘为事业单位工作人员的其他情形的人员。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三、高层次人才团队及领军人才的引进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(一)引进方式：全职或柔性引进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(二)范围及待遇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学校根据“双一流”学科建设和高层次人才队伍建设的需要，引进中医学、中药学、中西医结合等相关学科的高层次人才团队1-2个。引进的具体条件及待遇面议。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领军人才：在国(境)内外学术界具有较高学术地位的知名专家，在本学科专业领域有突出学术成就，具备领导本学科赶超国(境)内外先进水平的能力，具有高级职称及博士学位。引进的具体条件及待遇面议。具有下列条件之一者，优先考虑：</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7700"/>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042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第一类：两院院士，中国社会科学院学部委员，中国中医科学院学部委员，国家高等学校一级教授，国务院学科评议组召集人，教育部高等学校教学指导委员会主任委员、副主任委员。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第二类：入选（获得）过国家中组部、科技部、教育部、中医药管理局等部委局的国家级高层次人才培养计划（含重点领域创新团队）或荣誉称号，如国医大师、长江学者、全国名中医、岐黄学者、百千万人才工程国家级人选、中国科学院“百人计划”人选等；国务院学科评议组成员，教育部高等学校教学指导委员会委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第三类：担任过国家级科研平台（载体）负责人，如国家（重点）实验室主任、国家工程实验室主任等；或主持承担过国家（国家自然科学基金、社会科学基金）重大（重点）科研项目、创新研究群体、杰出青年、优秀青年项目等高水平科研项目，如国家重点研发计划项目负责人、国家自然科学基金重大研究计划项目主持人、国家社会科学基金重大项目首席专家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第四类：以第一完成人获得过国家科学技术奖、自然科学奖、技术发明奖、科技进步奖、教学成果奖等高水平科研教学类奖励一、二等奖或以第一完成人获得过国家社会科学基金项目优秀成果特别荣誉奖、专著类一等奖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第五类：入选过省级重大重点人才培养计划，如八桂学者、特聘专家、广西医学高层次人才培养计划领军人才等；或担任省级科研平台（载体）负责人或国家级科研平台（载体）副主任，如广西重点实验室主任、工程技术研究中心主任、国家（重点）实验室副主任等；或以第一完成人获得省部级科学技术奖（含自然科学奖、技术发明奖、科技进步奖、非论文类的哲学社会科学奖）一等奖；或主持承担过国家科技重大专项课题、国家科技支撑（攻关）计划项目课题（不含子项目、子课题）。</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(三)引进程序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1.报名时间：</w:t>
      </w:r>
      <w:r>
        <w:rPr>
          <w:rFonts w:hint="eastAsia" w:ascii="微软雅黑" w:hAnsi="微软雅黑" w:eastAsia="微软雅黑" w:cs="微软雅黑"/>
          <w:i w:val="0"/>
          <w:iCs w:val="0"/>
          <w:caps w:val="0"/>
          <w:color w:val="000000"/>
          <w:spacing w:val="0"/>
          <w:sz w:val="21"/>
          <w:szCs w:val="21"/>
          <w:bdr w:val="none" w:color="auto" w:sz="0" w:space="0"/>
        </w:rPr>
        <w:t>即日起至2022年12月30日。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2.报名方式</w:t>
      </w:r>
      <w:r>
        <w:rPr>
          <w:rFonts w:hint="eastAsia" w:ascii="微软雅黑" w:hAnsi="微软雅黑" w:eastAsia="微软雅黑" w:cs="微软雅黑"/>
          <w:i w:val="0"/>
          <w:iCs w:val="0"/>
          <w:caps w:val="0"/>
          <w:color w:val="000000"/>
          <w:spacing w:val="0"/>
          <w:sz w:val="21"/>
          <w:szCs w:val="21"/>
          <w:bdr w:val="none" w:color="auto" w:sz="0" w:space="0"/>
        </w:rPr>
        <w:t>(可选择以下两种方式报名)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(1)网上投递：团队或个人相关简历材料及证明、聘期工作计划等文件电子版统一发送到邮箱：gzyrsc2018@163.com。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(2)现场报名：将团队或个人相关简历材料及证明、聘期工作计划等交到广西中医药大学人事处，进行现场报名。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3.资格审查。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人事处会同相关单位(部门)对应聘团队或个人材料初步审核，并提出审核意见。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4.人才评议。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由学校组织人才工作专家根据应聘材料对其学术水平、思想道德水平、业务能力、发展潜力和工作计划等进行评议，根据评议结果，形成人才引进方案报校领导审定。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5.签订合同。</w:t>
      </w:r>
      <w:r>
        <w:rPr>
          <w:rFonts w:hint="eastAsia" w:ascii="微软雅黑" w:hAnsi="微软雅黑" w:eastAsia="微软雅黑" w:cs="微软雅黑"/>
          <w:i w:val="0"/>
          <w:iCs w:val="0"/>
          <w:caps w:val="0"/>
          <w:color w:val="000000"/>
          <w:spacing w:val="0"/>
          <w:sz w:val="21"/>
          <w:szCs w:val="21"/>
          <w:bdr w:val="none" w:color="auto" w:sz="0" w:space="0"/>
        </w:rPr>
        <w:t>学校与引进人才签订引进合同并办理有关手续。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B6642"/>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7B6642"/>
        </w:rPr>
        <w:t>四、博士的引进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(一)招聘的</w:t>
      </w:r>
      <w:r>
        <w:rPr>
          <w:i w:val="0"/>
          <w:iCs w:val="0"/>
          <w:caps w:val="0"/>
          <w:color w:val="4B4B4B"/>
          <w:spacing w:val="0"/>
          <w:u w:val="none"/>
          <w:bdr w:val="none" w:color="auto" w:sz="0" w:space="0"/>
        </w:rPr>
        <w:fldChar w:fldCharType="begin"/>
      </w:r>
      <w:r>
        <w:rPr>
          <w:i w:val="0"/>
          <w:iCs w:val="0"/>
          <w:caps w:val="0"/>
          <w:color w:val="4B4B4B"/>
          <w:spacing w:val="0"/>
          <w:u w:val="none"/>
          <w:bdr w:val="none" w:color="auto" w:sz="0" w:space="0"/>
        </w:rPr>
        <w:instrText xml:space="preserve"> HYPERLINK "http://www.gxszw.com/boshi/" \t "https://www.gxszw.com/zhaopin/gxzyy/_blank" </w:instrText>
      </w:r>
      <w:r>
        <w:rPr>
          <w:i w:val="0"/>
          <w:iCs w:val="0"/>
          <w:caps w:val="0"/>
          <w:color w:val="4B4B4B"/>
          <w:spacing w:val="0"/>
          <w:u w:val="none"/>
          <w:bdr w:val="none" w:color="auto" w:sz="0" w:space="0"/>
        </w:rPr>
        <w:fldChar w:fldCharType="separate"/>
      </w:r>
      <w:r>
        <w:rPr>
          <w:rStyle w:val="14"/>
          <w:i w:val="0"/>
          <w:iCs w:val="0"/>
          <w:caps w:val="0"/>
          <w:color w:val="4B4B4B"/>
          <w:spacing w:val="0"/>
          <w:u w:val="single"/>
          <w:bdr w:val="none" w:color="auto" w:sz="0" w:space="0"/>
        </w:rPr>
        <w:t>博士人才</w:t>
      </w:r>
      <w:r>
        <w:rPr>
          <w:i w:val="0"/>
          <w:iCs w:val="0"/>
          <w:caps w:val="0"/>
          <w:color w:val="4B4B4B"/>
          <w:spacing w:val="0"/>
          <w:u w:val="none"/>
          <w:bdr w:val="none" w:color="auto" w:sz="0" w:space="0"/>
        </w:rPr>
        <w:fldChar w:fldCharType="end"/>
      </w:r>
      <w:r>
        <w:rPr>
          <w:i w:val="0"/>
          <w:iCs w:val="0"/>
          <w:caps w:val="0"/>
          <w:color w:val="000000"/>
          <w:spacing w:val="0"/>
          <w:bdr w:val="none" w:color="auto" w:sz="0" w:space="0"/>
        </w:rPr>
        <w:t>层次</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623"/>
        <w:gridCol w:w="15077"/>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54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人才层次</w:t>
            </w:r>
          </w:p>
        </w:tc>
        <w:tc>
          <w:tcPr>
            <w:tcW w:w="888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条件</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54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bdr w:val="none" w:color="auto" w:sz="0" w:space="0"/>
              </w:rPr>
              <w:t>拔尖人才</w:t>
            </w:r>
          </w:p>
        </w:tc>
        <w:tc>
          <w:tcPr>
            <w:tcW w:w="88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具有较高学术造诣，在本学科领域有突出学术成就，能够带领、指导和组织有关人员开展学术研究，并取得研究成果的专家。拔尖人才应原则上应具有高级职称及博士学位，特别优秀的博士可放宽职称限制。同时应具备以下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1.五年内（报到时间往前推算五年）获得1项国家级科技奖奖励（排名前十）；或获得1项省部级科技奖奖励（排名第1）；或获得2项省部级科技奖奖励（其中一等奖排名第2—第7，二等奖排名前5，三等奖排名前3）；或由政府颁发的省部级社科科研成果奖（非论文类）一等奖（排名第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2.五年内（报到时间往前推算五年）主持并完成1项国家级科研项目，通过相应主管部门验收，并取得一定科研成果。</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54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bdr w:val="none" w:color="auto" w:sz="0" w:space="0"/>
              </w:rPr>
              <w:t>博士</w:t>
            </w:r>
          </w:p>
        </w:tc>
        <w:tc>
          <w:tcPr>
            <w:tcW w:w="88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博士应具备博士研究生学历学位，年龄原则上不超过45岁，近五年以第一作者或通讯作者在本学科领域发表高水平学术论文，具有较强的实践能力和创新能力。</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(二)招聘岗位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我校面向国内外公开招聘各层次博士113名。具体岗位及相关要求详见《广西中医药大学2022年公开招聘博士计划表》(附件1)。</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41"/>
        <w:gridCol w:w="1172"/>
        <w:gridCol w:w="1938"/>
        <w:gridCol w:w="1707"/>
        <w:gridCol w:w="614"/>
        <w:gridCol w:w="887"/>
        <w:gridCol w:w="1991"/>
        <w:gridCol w:w="3285"/>
        <w:gridCol w:w="1235"/>
        <w:gridCol w:w="825"/>
        <w:gridCol w:w="825"/>
        <w:gridCol w:w="1949"/>
        <w:gridCol w:w="731"/>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PrEx>
        <w:trPr>
          <w:trHeight w:val="675" w:hRule="atLeast"/>
        </w:trPr>
        <w:tc>
          <w:tcPr>
            <w:tcW w:w="63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序号</w:t>
            </w:r>
          </w:p>
        </w:tc>
        <w:tc>
          <w:tcPr>
            <w:tcW w:w="148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单位（部门）</w:t>
            </w:r>
          </w:p>
        </w:tc>
        <w:tc>
          <w:tcPr>
            <w:tcW w:w="231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科室/教研室</w:t>
            </w:r>
          </w:p>
        </w:tc>
        <w:tc>
          <w:tcPr>
            <w:tcW w:w="211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岗位名称</w:t>
            </w:r>
          </w:p>
        </w:tc>
        <w:tc>
          <w:tcPr>
            <w:tcW w:w="73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岗位代码</w:t>
            </w:r>
          </w:p>
        </w:tc>
        <w:tc>
          <w:tcPr>
            <w:tcW w:w="108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岗位类别</w:t>
            </w:r>
          </w:p>
        </w:tc>
        <w:tc>
          <w:tcPr>
            <w:tcW w:w="261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工作内容</w:t>
            </w:r>
          </w:p>
        </w:tc>
        <w:tc>
          <w:tcPr>
            <w:tcW w:w="436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专业</w:t>
            </w:r>
          </w:p>
        </w:tc>
        <w:tc>
          <w:tcPr>
            <w:tcW w:w="166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学历学位</w:t>
            </w:r>
          </w:p>
        </w:tc>
        <w:tc>
          <w:tcPr>
            <w:tcW w:w="108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职称</w:t>
            </w:r>
          </w:p>
        </w:tc>
        <w:tc>
          <w:tcPr>
            <w:tcW w:w="108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年龄</w:t>
            </w:r>
          </w:p>
        </w:tc>
        <w:tc>
          <w:tcPr>
            <w:tcW w:w="255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其他</w:t>
            </w:r>
          </w:p>
        </w:tc>
        <w:tc>
          <w:tcPr>
            <w:tcW w:w="90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拟增人员数量</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基础医学院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温病学教研室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温病学教师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01</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中医临床基础</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本科需为中医学专业</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中医诊断学教研室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中医诊断学教师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02</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中医诊断学、中医内科学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医古文教研室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医古文教师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03</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汉语言文字学、中医医史文献（医古文方向）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中医各家学说教研室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中医各家学说教师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04</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中医医史文献</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生理学教研室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生理学教师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05</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临床医学与医学技术类、基础医学类、生物科学及技术类、中西医结合基础、药理学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要求具有医学背景</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药学院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中药学</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临床中药学学科带头人</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06</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负责临床中药学学科建设，临床中药学的教学与科研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中药药理学</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中药药理学学科带头人</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07</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负责中药药理学学科建设，中药药理学的教学与科研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研究方向为中药药理学</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中药炮制学</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中药炮制学学科带头人</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08</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负责中药炮制学学科建设，中药炮制学的教学与科研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研究方向为中药炮制学</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药剂学</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药剂学学科带头人</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09</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负责药剂学学科建设，药剂学的教学与科研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药剂学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药理学</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药理学学科带头人</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负责药理学学科建设，药理学的教学与科研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药理学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11</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药物分析</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药物分析学学科带头人</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11</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负责药物分析学学科建设，药物分析的教学与科研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药物分析</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12</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中药鉴定学</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生药学学科带头人</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12</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负责生药学学科建设，生药学的教学与科研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生药学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13</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药物化学</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药物化学学科带头人</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13</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负责药物化学学科建设，药物化学的教学与科研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药物化学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14</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制药工程教研室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制药工程教师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14</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制药工程</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中共党员优先</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15</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药剂教研室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药剂教师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15</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中药学、药剂学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中共党员优先</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16</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drawing>
                <wp:inline distT="0" distB="0" distL="114300" distR="114300">
                  <wp:extent cx="9525" cy="9525"/>
                  <wp:effectExtent l="0" t="0" r="0" b="0"/>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5"/>
                          <a:stretch>
                            <a:fillRect/>
                          </a:stretch>
                        </pic:blipFill>
                        <pic:spPr>
                          <a:xfrm>
                            <a:off x="0" y="0"/>
                            <a:ext cx="9525" cy="9525"/>
                          </a:xfrm>
                          <a:prstGeom prst="rect">
                            <a:avLst/>
                          </a:prstGeom>
                          <a:noFill/>
                          <a:ln w="9525">
                            <a:noFill/>
                          </a:ln>
                        </pic:spPr>
                      </pic:pic>
                    </a:graphicData>
                  </a:graphic>
                </wp:inline>
              </w:drawing>
            </w:r>
            <w:r>
              <w:rPr>
                <w:rFonts w:ascii="宋体" w:hAnsi="宋体" w:eastAsia="宋体" w:cs="宋体"/>
                <w:kern w:val="0"/>
                <w:sz w:val="21"/>
                <w:szCs w:val="21"/>
                <w:bdr w:val="none" w:color="auto" w:sz="0" w:space="0"/>
                <w:lang w:val="en-US" w:eastAsia="zh-CN" w:bidi="ar"/>
              </w:rPr>
              <w:drawing>
                <wp:inline distT="0" distB="0" distL="114300" distR="114300">
                  <wp:extent cx="9525" cy="9525"/>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5"/>
                          <a:stretch>
                            <a:fillRect/>
                          </a:stretch>
                        </pic:blipFill>
                        <pic:spPr>
                          <a:xfrm>
                            <a:off x="0" y="0"/>
                            <a:ext cx="9525" cy="9525"/>
                          </a:xfrm>
                          <a:prstGeom prst="rect">
                            <a:avLst/>
                          </a:prstGeom>
                          <a:noFill/>
                          <a:ln w="9525">
                            <a:noFill/>
                          </a:ln>
                        </pic:spPr>
                      </pic:pic>
                    </a:graphicData>
                  </a:graphic>
                </wp:inline>
              </w:drawing>
            </w:r>
            <w:r>
              <w:rPr>
                <w:rFonts w:ascii="宋体" w:hAnsi="宋体" w:eastAsia="宋体" w:cs="宋体"/>
                <w:kern w:val="0"/>
                <w:sz w:val="21"/>
                <w:szCs w:val="21"/>
                <w:bdr w:val="none" w:color="auto" w:sz="0" w:space="0"/>
                <w:lang w:val="en-US" w:eastAsia="zh-CN" w:bidi="ar"/>
              </w:rPr>
              <w:drawing>
                <wp:inline distT="0" distB="0" distL="114300" distR="114300">
                  <wp:extent cx="9525" cy="9525"/>
                  <wp:effectExtent l="0" t="0" r="0" b="0"/>
                  <wp:docPr id="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2"/>
                          <pic:cNvPicPr>
                            <a:picLocks noChangeAspect="1"/>
                          </pic:cNvPicPr>
                        </pic:nvPicPr>
                        <pic:blipFill>
                          <a:blip r:embed="rId5"/>
                          <a:stretch>
                            <a:fillRect/>
                          </a:stretch>
                        </pic:blipFill>
                        <pic:spPr>
                          <a:xfrm>
                            <a:off x="0" y="0"/>
                            <a:ext cx="9525" cy="9525"/>
                          </a:xfrm>
                          <a:prstGeom prst="rect">
                            <a:avLst/>
                          </a:prstGeom>
                          <a:noFill/>
                          <a:ln w="9525">
                            <a:noFill/>
                          </a:ln>
                        </pic:spPr>
                      </pic:pic>
                    </a:graphicData>
                  </a:graphic>
                </wp:inline>
              </w:drawing>
            </w:r>
            <w:r>
              <w:rPr>
                <w:rFonts w:ascii="宋体" w:hAnsi="宋体" w:eastAsia="宋体" w:cs="宋体"/>
                <w:kern w:val="0"/>
                <w:sz w:val="21"/>
                <w:szCs w:val="21"/>
                <w:bdr w:val="none" w:color="auto" w:sz="0" w:space="0"/>
                <w:lang w:val="en-US" w:eastAsia="zh-CN" w:bidi="ar"/>
              </w:rPr>
              <w:t>中药商品与药事管理教研室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药事管理教师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16</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药学类</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有“药事管理”专业背景，中共党员优先</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17</w:t>
            </w:r>
          </w:p>
        </w:tc>
        <w:tc>
          <w:tcPr>
            <w:tcW w:w="14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骨伤学院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骨伤学院基础教研室</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中医骨伤教师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17</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中医骨伤科学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18</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针灸推拿学院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基础教研室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针推基础教师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18</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针灸推拿学、推拿、针灸学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19</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针推临床教师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19</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针灸推拿学、推拿、针灸学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w:t>
            </w:r>
          </w:p>
        </w:tc>
        <w:tc>
          <w:tcPr>
            <w:tcW w:w="14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壮医药学院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壮医基础理论教研室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壮医基础理论教师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中医内科、中医基础理论</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21</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护理学院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临床护理教研室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临床护理教师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21</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护理类、临床医学与医学技术类（临床医学、中西医结合临床）、基础医学类</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45周岁及以下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本科或研究生期间专业为医学类专业</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22</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护理人文教研室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护理人文教师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22</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护理类、临床医学与医学技术类（临床医学）、基础医学类</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45周岁及以下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本科或研究生期间专业为医学类专业</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23</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公共卫生与管理学院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信息技术系</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信息技术教师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23</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管理科学与工程类、计算机科学类、电子信息类、数学类</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24</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预防医学系</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预防医学教师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24</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公共卫生与预防医学类</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25</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心理系/心理健康教育教研室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心理学教师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25</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心理学类</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26</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马克思主义学院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毛泽东思想中国特色社会主义理论体系概论教研室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毛泽东思想和中国特色社会主义理论体系概论教师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26</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马克思主义基本原理、马克思主义发展史、马克思主义中国化研究、国外马克思主义研究、思想政治教育、马克思主义理论、中国近现代史基本问题研究</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27</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马克思主义基本原理教研室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马克思主义基本原理教师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27</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马克思主义基本原理、马克思主义发展史、马克思主义中国化研究、国外马克思主义研究、思想政治教育、马克思主义理论、中国近现代史基本问题研究</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28</w:t>
            </w:r>
          </w:p>
        </w:tc>
        <w:tc>
          <w:tcPr>
            <w:tcW w:w="14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国际教育学院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教务科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对外汉语教师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28</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海外华语及华文教学</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汉语国际教育</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29</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科学实验中心</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广西壮瑶药重点实验室（壮瑶药协同创新中心）</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科研人员1</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29</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专技岗（科研）</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临床医学与医学技术类、中医学类、药学类、基础医学类、化工与制药技术类</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学习能力强，能很快融入课题研究，可承受一定的科研压力。</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5"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30</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广西壮族自治区民族药资源与应用工程研究中心</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科研人员2</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30</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专技岗（科研）</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临床医学与医学技术类、中医学类、药学类、基础医学类、化工与制药技术类</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学习能力强，能很快融入课题研究，可承受一定的科研压力。</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31</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中国-东盟传统药物研究国际合作联合实验室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科研人员3</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31</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专技岗（科研）</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药理学、生物化学与分子生物学、中药学（中药药理）、病理学与病理生理学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能独立开展科研工作、团队和创新意识较强；应届博士生优先；有海外留学经历优先；发表过1区SCI论文的优先。</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32</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海洋药物研究院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海洋合成生物学研究室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研究室科研人员1</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32</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专技岗（科研）</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中药学、海洋化学、化学生物学及相关专业</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33</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海洋药用资源研究室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研究室科研人员2</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33</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专技岗（科研）</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微生物学、海洋生物学、渔业资源及相关专业</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34</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第一临床医学院（第一附属医院）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心血管内科二区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科研专职</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34</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中医、中西医、临床医学心血管病防治</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有规培证；要求发表2篇IF值2分以上SCI文章；主持有省级以上科研课题优先。</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35</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肝病二区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肝病二区医师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35</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中医内科、肝病、传染病方向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36</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肾病科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肾病科医师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36</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中医内科、中西医结合临床、临床医学（以上专业均要求肾病学方向）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37</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内分泌科    </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内分泌科医师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37</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中医内科、内分泌专业</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38</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介入科 </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介入科医师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38</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血管介入</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39</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呼吸与危重症医学科  </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呼吸与危重症医学医师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39</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呼吸或危重症方向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40</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40</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妇产科学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41</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老年病科、干部病区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老年病科医师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中医或中西医结合专业均可，心血管、呼吸或神经病学方向均可</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42</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耳鼻咽喉头颈外科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耳鼻咽喉头颈外科医师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42</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耳鼻咽喉科学（中医或西医）</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43</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泌尿外科  </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泌尿外科医师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43</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泌尿外科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有规培证；具备较强的科研能力。</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44</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骨科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骨科医师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44</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骨科（脊柱方向）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45</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儿科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儿科医师/科研专职</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45</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中医儿科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46</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急诊、感染性疾病科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急诊、感染性疾病科医师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46</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中、西医临床医学或急诊医学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47</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康复医学科  （东葛）</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康复医学科  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47</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康复医学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副高</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48</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推拿科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推拿科医师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48</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针灸推拿学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49</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中医治未病中心/中医健康管理中心</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中医治未病中心医师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49</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针灸推拿、中医养生学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50</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放射科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放射科医师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50</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影像医学与核医学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51</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心血管科、呼吸内科（仙葫）</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心血管科医师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心血管</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52</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妇产科（仙葫）</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妇产科医师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52</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br w:type="textWrapping"/>
            </w:r>
            <w:r>
              <w:rPr>
                <w:rFonts w:ascii="宋体" w:hAnsi="宋体" w:eastAsia="宋体" w:cs="宋体"/>
                <w:kern w:val="0"/>
                <w:sz w:val="21"/>
                <w:szCs w:val="21"/>
                <w:bdr w:val="none" w:color="auto" w:sz="0" w:space="0"/>
                <w:lang w:val="en-US" w:eastAsia="zh-CN" w:bidi="ar"/>
              </w:rPr>
              <w:t>中医妇科学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53</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颅脑外科（仙葫）</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颅脑外科医师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53</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神经外科、神经介入（神经内科、神经外科）、外科学、中医外科、中西医结合临床</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54</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科研部分子生物学实验室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行政人员</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54</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行政管理</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中医基础、医学统计学、分子生物学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通过英语六级。</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55</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瑞康临床医学院（附属瑞康医院）</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眼科</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眼科医师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55</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眼科学、中医眼科学、中西医结合临床</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56</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耳鼻咽喉头颈外科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耳鼻咽喉头颈外科医师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56</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耳鼻咽喉科学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57</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产科</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产科医师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57</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临床医学、中西医结合、妇产科学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58</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妇科一区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妇科一区医师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58</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妇产科学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59</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妇科二区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妇科二区医师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59</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中医、中西医结合临床、临床医学（生殖内分泌、不孕不育、月经病等方向）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60</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肝胆腺体周围血管病外科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肝胆腺体周围血管病外科医师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60</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外科学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61</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肛肠科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肛肠科医师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62</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胃肠外科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胃肠外科医师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62</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外科学（普外、胃肠、肛肠方向）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63</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神经外科</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神经外科医师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63</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外科学（神经外科方向）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64</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胸心血管外科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胸心血管外科医师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64</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外科学（胸心外科方向）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65</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脊柱外科二区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脊柱外科二区医师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65</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外科学（脊柱外科）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66</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创伤骨科与手外科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创伤骨科与手外科医师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66</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外科学（创伤方向）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67</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关节与运动医学科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关节与运动医学科医师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67</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临床医学、中西医结合、中医骨伤科学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68</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泌尿外科一、二区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泌尿外科一、二区医师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68</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外科学（泌尿外科）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69</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泌尿三区（移植病区）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泌尿三区（移植病区）医师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69</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外科学（泌尿或器官移植方向）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70</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手术麻醉科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手术麻醉科医师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70</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临床医学、麻醉学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71</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肾内科、血液透析中心</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肾内科、血液透析中心医师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中医内科学、中西医结合、内科学（肾脏病学）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72</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风湿免疫科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风湿免疫科医师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72</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中西医结合临床（风湿病方向）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73</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消化内科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消化内科医师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73</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中医内科学、中西结合临床、临床医学（消化内科方向）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74</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肝病内科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肝病内科医师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74</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临床医学、中西医结合临床（肝病、传染病方向）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75</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脑病科二区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脑病科二区医师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75</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神经内科、中医内科学、中西医结合临床（神经病学方向）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76</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康复医学科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康复医学科医师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76</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中医内科学（脑病方向）、中西医结合临床（脑病方向）、康复医学、内科学（神经内科方向）、针灸推拿学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77</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心血管内科二区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心血管内科二区医师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77</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内科学（心血管疾病方向、介入方向）、中医内科学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78</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老年病科</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老年病科医师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78</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内科学（心血管、神经内科、呼吸内科、内分泌等方向）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79</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呼吸与危重症医学科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呼吸与危重症医学科医师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79</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内科学（呼吸内科）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80</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重症医学科一区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重症医学科一区医师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80</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临床医学（重症、急诊、呼吸、心血管方向)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81</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重症医学科二区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重症医学科二区医师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呼吸内科、重症医学、急诊医学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82</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儿科</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儿科医师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82</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儿科学、临床医学（新生儿方向）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83</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针灸科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针灸科医师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83</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针灸推拿学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84</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检验科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检验科技师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84</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医学检验或分子生物学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85</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药学部</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药学部药师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85</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86</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药物研发中心</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科研人员</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86</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87</w:t>
            </w:r>
          </w:p>
        </w:tc>
        <w:tc>
          <w:tcPr>
            <w:tcW w:w="1485" w:type="dxa"/>
            <w:vMerge w:val="restart"/>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壮医临床医学院（广西国际壮医医院）</w:t>
            </w: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脾胃肝病科一区</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脾胃肝病科一区医师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87</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内科学（消化方向）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主治医师及以上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88</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肾病科（含血液净化室）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肾病科（含血液净化室）医师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88</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内科学/中医内科学/中西医结合临床（肾病方向）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89</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肺病科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肺病科医师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89</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内科学/中医内科学（肺病、呼吸、重症方向）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90</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风湿病科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风湿病科医师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90</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内科学/中医内科学（风湿免疫方向）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91</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肿瘤科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肿瘤科医师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91</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肿瘤学（放疗方向）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92</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内分泌代谢病科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内分泌代谢病科医师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92</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中医内科学（内分泌方向）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93</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胃结直肠外科（含胰腺、甲状腺、疝）</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胃结直肠外科（含胰腺、甲状腺、疝）医师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93</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外科学（胃结直肠、甲状腺方向）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94</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乳腺病科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乳腺病科</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94</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外科学（乳腺病方向）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95</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麻醉科（含手术室）</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麻醉科（含手术室）医师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95</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麻醉学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96</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皮肤科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皮肤科医师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96</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中医外科学（皮肤病方向）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97</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妇科医师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97</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中医妇科学/妇产科学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98</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儿科（含新生儿科）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儿科（含新生儿科）医师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98</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儿科学/中医儿科学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主治医师及以上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99</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耳鼻喉科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耳鼻喉科医师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99</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耳鼻咽喉科学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45周岁及以下</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100</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治未病中心</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治未病中心医师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100</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中医内科学、壮医学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101</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放射科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放射科技师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101</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影像医学与核医学（放射方向）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102</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病理科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病理科医师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102</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临床医学、病理学与病理生理学</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103</w:t>
            </w:r>
          </w:p>
        </w:tc>
        <w:tc>
          <w:tcPr>
            <w:tcW w:w="1485" w:type="dxa"/>
            <w:vMerge w:val="continue"/>
            <w:tcBorders>
              <w:top w:val="outset" w:color="auto" w:sz="6" w:space="0"/>
              <w:left w:val="outset" w:color="auto" w:sz="6" w:space="0"/>
              <w:bottom w:val="single" w:color="CCCCCC" w:sz="6" w:space="0"/>
              <w:right w:val="single" w:color="CCCCCC" w:sz="6" w:space="0"/>
            </w:tcBorders>
            <w:shd w:val="clear"/>
            <w:vAlign w:val="center"/>
          </w:tcPr>
          <w:p>
            <w:pPr>
              <w:jc w:val="center"/>
              <w:rPr>
                <w:rFonts w:hint="eastAsia" w:ascii="宋体"/>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超声科</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超声科技师</w:t>
            </w:r>
          </w:p>
        </w:tc>
        <w:tc>
          <w:tcPr>
            <w:tcW w:w="7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103</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影像医学与核医学（肌肉骨骼超声方向、妇产科超声方向）</w:t>
            </w:r>
          </w:p>
        </w:tc>
        <w:tc>
          <w:tcPr>
            <w:tcW w:w="16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271" w:hRule="atLeast"/>
        </w:trPr>
        <w:tc>
          <w:tcPr>
            <w:tcW w:w="0" w:type="auto"/>
            <w:gridSpan w:val="12"/>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合计</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113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(二)引进程序和方式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1.报名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(1)报名时间：即日起即可报名，报名截止时间为2022年12月30日。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(2)报名方式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可选择以下两种方式报名：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①网上投递(邮件名统一命名为“姓名 + 应聘岗位名称”)：应聘者均需将《广西中医药大学2022年公开招聘博士报名登记表》 (附件2) 及《广西中医药大学2022年公开招聘博士报名汇总表》(附件3)及个人相关简历材料电子版统一发送到邮箱：gzyrsc2018@163.com。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②现场报名：将个人简历交到学校人事处，进行现场报名。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2.资格审查及考核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(1)报名后，我校将对报名者的材料进行初审，符合条件人员由具体的用人单位通知参加考核。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(2)考核可采取技能操作、笔试、试讲、面试等不同形式，具体考核形式、考核时间、考核地点由用人单位电话通知应聘人员。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(3)本次公开招聘博士将根据岗位报名情况，在报名期间进行多批次考核并择优录用(直至录满为止，岗位录满后将不再安排考核)。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3.政审及体检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对拟录用人员进行的政审主要考察拟录用人员的政治思想、道德品质等情况，同时对资格条件进行复核。若政审不合格，则取消录用资格。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拟录用人员须参加体检，体检标准参照公务员录用体检标准执行。若体检不合格，则取消录用资格。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4.确定拟聘人员名单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学校党政领导在听取人事处汇报的基础上，对拟录用人员的综合考评结果及用人单位意见、考察情况进行充分研究后，确定拟聘人员名单。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5.公示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上述程序结束后将及时在广西中医药大学网站公告栏对拟聘人员名单进行公示，公示期为7个工作日。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6.签订合同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(1)公示结束无异议后，签订聘用合同。如受聘人员无法按期到岗或签合同时无法提供相应学历、学位证等材料，则取消其录用资格。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(2)引进的博士在入职报到后，需签订引进博士合同书，约定的服务期限为5年，按合同书约定享受相应的权力，履行相应的义务，承担违约所造成的后果。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(三)引进博士待遇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1.工资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具有副高及以上职称博士按其职称参照学校同级别岗位享受相应的工资福利待遇，无职称或具有中级及以下职称博士参照学校中级岗位享受相应的工资福利待遇。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2.安家费及科研启动经费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学校本部录用的博士，根据不同层次给予30-80万元安家费，安家费发放形式：分五年逐月发放。附属医院录用的博士，其安家费核定及发放按照附属医院安家费政策执行，具体面谈。 </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088"/>
        <w:gridCol w:w="8589"/>
        <w:gridCol w:w="7023"/>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0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人才层次</w:t>
            </w:r>
          </w:p>
        </w:tc>
        <w:tc>
          <w:tcPr>
            <w:tcW w:w="493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安家费（税前）</w:t>
            </w:r>
          </w:p>
        </w:tc>
        <w:tc>
          <w:tcPr>
            <w:tcW w:w="403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科研启动经费</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20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bdr w:val="none" w:color="auto" w:sz="0" w:space="0"/>
              </w:rPr>
              <w:t>拔尖人才</w:t>
            </w:r>
          </w:p>
        </w:tc>
        <w:tc>
          <w:tcPr>
            <w:tcW w:w="493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60-80万元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（符合拔尖人才1个条件60万元，2个条件70万元，如果属于学校急需紧缺的中医学类、临床医学、中药学、中西医结合、口腔医学、护理学专业的博士则另外增加10万元）</w:t>
            </w:r>
          </w:p>
        </w:tc>
        <w:tc>
          <w:tcPr>
            <w:tcW w:w="403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3-30万元，申报时3-20 万元，中期考核后，根据课题研究开展情况及价值可申请追加经费，最高10万元。</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20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bdr w:val="none" w:color="auto" w:sz="0" w:space="0"/>
              </w:rPr>
              <w:t>博士</w:t>
            </w:r>
          </w:p>
        </w:tc>
        <w:tc>
          <w:tcPr>
            <w:tcW w:w="493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30-40万元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（属于学校急需紧缺的中医学类、临床医学、中药学、中西医结合、口腔医学、护理学专业博士研究生40万元，其他博士研究生30万元）</w:t>
            </w:r>
          </w:p>
        </w:tc>
        <w:tc>
          <w:tcPr>
            <w:tcW w:w="403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3-20万元，申报时3-10 万元，中期考核后，根据课题研究开展情况及价值可申请追加经费，最高10万元。</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3. 其它待遇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(1)已报到的人才，主持有国家级科研在研项目的，按有关规定给予硕士研究生导师资格。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(2)学校可协调安排子女到所属学区范围内的幼儿园、中小学就读。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(3)在学校安排考核期间，广西南宁市区以外应聘人员，学校可承担国内往返城市交通费(交通票由学校订购)、1～2晚的住宿费。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(4)所引进的博士，符合自治区高层次人才专项编制条件的按有关文件办理入实名编制手续。其他人员按照实际到校报到上岗时间先后顺序逐步分批办理入实名编制手续。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(5)对于特别优秀的博士研究生，到校工作后，可以优先推荐参加高级职称评审。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(6)拔尖人才的配偶(须具有硕士及以上学位)可安置在学校工作。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B6642"/>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7B6642"/>
        </w:rPr>
        <w:t>五、纪律监督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此次高层次人才引进工作严格按照公开、公正、公平、竞争、择优的原则，接受监察部门和社会各界监督。监督电话：0771-3111494。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B6642"/>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7B6642"/>
        </w:rPr>
        <w:t>六、联系方式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广西中医药大学校园网网址：http://www.gxtcmu.edu.cn。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人事处联系地址：广西南宁市青秀区五合大道13号 广西中医药大学仙葫校区合德楼309室，邮编：530200。电话：0771-3134653。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w:t>
      </w:r>
      <w:r>
        <w:rPr>
          <w:rFonts w:hint="eastAsia" w:ascii="宋体" w:hAnsi="宋体" w:eastAsia="宋体" w:cs="宋体"/>
          <w:b/>
          <w:bCs/>
          <w:color w:val="FF0000"/>
          <w:sz w:val="30"/>
          <w:szCs w:val="30"/>
        </w:rPr>
        <w:t>454977623</w:t>
      </w:r>
      <w:r>
        <w:rPr>
          <w:rFonts w:hint="default" w:ascii="Verdana" w:hAnsi="Verdana" w:eastAsia="宋体" w:cs="Verdana"/>
          <w:i w:val="0"/>
          <w:iCs w:val="0"/>
          <w:caps w:val="0"/>
          <w:color w:val="333333"/>
          <w:spacing w:val="0"/>
          <w:sz w:val="24"/>
          <w:szCs w:val="24"/>
        </w:rPr>
        <w:t>，</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Fonts w:hint="eastAsia" w:ascii="宋体" w:hAnsi="宋体" w:eastAsia="宋体" w:cs="宋体"/>
          <w:b/>
          <w:bCs/>
          <w:color w:val="FF0000"/>
          <w:sz w:val="30"/>
          <w:szCs w:val="30"/>
        </w:rPr>
        <w:t>342957900</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6"/>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GVkNzUwYzIyZjJkNzRkYTg2ZTAzMmRiZTk0NW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40E54C6"/>
    <w:rsid w:val="24901CF7"/>
    <w:rsid w:val="2708689D"/>
    <w:rsid w:val="284852C7"/>
    <w:rsid w:val="28A3523A"/>
    <w:rsid w:val="28B450FC"/>
    <w:rsid w:val="28E50FE4"/>
    <w:rsid w:val="28F940AD"/>
    <w:rsid w:val="29784473"/>
    <w:rsid w:val="29A5786C"/>
    <w:rsid w:val="2AD21EA8"/>
    <w:rsid w:val="2D555DD2"/>
    <w:rsid w:val="2D883306"/>
    <w:rsid w:val="312D4CDC"/>
    <w:rsid w:val="317E1E34"/>
    <w:rsid w:val="32A77C15"/>
    <w:rsid w:val="36E84922"/>
    <w:rsid w:val="387E5266"/>
    <w:rsid w:val="38974369"/>
    <w:rsid w:val="39673E7A"/>
    <w:rsid w:val="3AB918A1"/>
    <w:rsid w:val="3B592048"/>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高校师资网 小孟</cp:lastModifiedBy>
  <dcterms:modified xsi:type="dcterms:W3CDTF">2022-10-26T01:25:21Z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468A9DA0C1994F43A76EB771EE12B21B</vt:lpwstr>
  </property>
</Properties>
</file>