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000000"/>
          <w:sz w:val="48"/>
          <w:szCs w:val="48"/>
        </w:rPr>
      </w:pPr>
      <w:bookmarkStart w:id="0" w:name="_GoBack"/>
      <w:r>
        <w:rPr>
          <w:color w:val="000000"/>
          <w:sz w:val="48"/>
          <w:szCs w:val="48"/>
          <w:bdr w:val="none" w:color="auto" w:sz="0" w:space="0"/>
        </w:rPr>
        <w:t>广西中医药大学引进高层次领军人才及113名博士公告</w:t>
      </w:r>
    </w:p>
    <w:bookmarkEnd w:id="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根据《广西壮族自治区事业单位公开招聘人员实施办法》(桂人社发〔2011〕155号)及《广西壮族自治区人力资源和社会保障厅关于落实“放管服”改革精简事业单位增人手续的通知》(桂人社规〔2018〕27号)等精神，结合实际工作需要，2022年我校面向国内外</w:t>
      </w: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引进高层次人才团队及领军人才若干名，公开招聘博士113名。</w:t>
      </w:r>
      <w:r>
        <w:rPr>
          <w:rFonts w:hint="eastAsia" w:ascii="微软雅黑" w:hAnsi="微软雅黑" w:eastAsia="微软雅黑" w:cs="微软雅黑"/>
          <w:i w:val="0"/>
          <w:iCs w:val="0"/>
          <w:caps w:val="0"/>
          <w:color w:val="000000"/>
          <w:spacing w:val="0"/>
          <w:sz w:val="21"/>
          <w:szCs w:val="21"/>
          <w:bdr w:val="none" w:color="auto" w:sz="0" w:space="0"/>
          <w:shd w:val="clear" w:fill="FFFFFF"/>
        </w:rPr>
        <w:t>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rFonts w:hint="eastAsia"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bdr w:val="none" w:color="auto" w:sz="0" w:space="0"/>
          <w:shd w:val="clear" w:fill="7B6642"/>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广西中医药大学创建于1956年，其前身是1934年成立的广西省立南宁区医药研究所，是我国5个少数民族自治区中唯一独立建制的高等中医药院校。2012年3月经国家教育部批准正式更名为广西中医药大学，也是国家中西部基础能力建设高校及国家中医药管理局与广西壮族自治区共建高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以中医药学科为主，医、理、工、管等多学科协调发展，具有鲜明中医药、民族医药特色，产学研医紧密结合、对外交流合作优势突出，有仙葫、明秀2个校区，总占地面积1310.99亩。设有14个学院，3个直属公共教学部。有14所附属医院(其中直属附属医院3所，地方附属医院11所),1所附设中医学校，1家校办制药厂，1所独立学院。有重阳城老年公寓等一批在全国行业内有一定影响力的产学研基地和教学实践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人才培养成效显著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牢固树立“立德树人”的育人观，大力实施“人才强校、质量兴校”战略。学校拥有一支教学经验丰富、结构合理的师资队伍，有本科专业27个，其中有国家综合改革试点专业1个、国家级特色专业3个、卓越医生(中医)教育培养计划改革试点项目2个、省级优质特色专业(群)9个、省级特色专业及实验实训教学基地(中心)一体化建设项目8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学科建设稳步发展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是博士学位授予单位，有博士学位授权一级学科1个、硕士学位授权一级学科6个，博士专业学位类别1个、硕士专业学位类别4个，二级学科硕士学位授权学科43个，是硕士研究生推免资格高校;有国家临床重点专科11个，国家中医药管理局中医药重点学科15个，国家中医药管理局中医药重点培育学科4个，国家中医药管理局重点专科13个，国家中医药管理局重点培育专科4个;有广西一流学科(含培育)3个，广西优势特色重点学科4个，广西重点学科6个，广西民族院校特色学科1个;广西中医药重点学科(含培育)55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科学研究成果丰硕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以中医药、壮瑶医药研究为重点，加强科研创新基地与科技创新平台建设，广西中医药科学实验中心是全国中医药民族医药最大的创新共享平台之一。有1个中-泰传统药物研究联合实验室、1个中—澳传统药物现代研究联合研究实验室、1个中—加斑马鱼中药筛选联合实验室、1个中国-东盟传统药物研究国际合作联合实验室，4个国家中医药管理局中医药科研三级重点实验室，4个广西壮族自治区重点实验室，广西高校重点实验室8个(含培育)，广西卫生健康委员会重点实验室4个(含培育)。拥有广西首批“2011协同创新中心”各1个，广西“2011协同创新中心”建设基地2个、校地校企共建科技创新平台3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社会服务优势明显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以第一附属医院、附属瑞康医院、制药厂为依托，学校有36个国药准字号药品、200多种院内制剂、10多种成果转化产品。近年来，学校利用中药药效筛选实验室等省级重点实验室和两所直属附属医院的“国家药品临床研究基地”等系列技术平台，学校先后为区内外25个省区的100多家医药企业、科研院所或个人提供技术服务，完成了上百个中医药品种的处方论证、毒理试验、药效筛选与评价等研究，产生了很好的经济效益和社会效益。同时学校还提供原料检测、中药质量真伪优劣评价，中药农药残留等技术服务，建立起中医药科技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文化传承创新显特色</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学校循本而开弘，始终把文化的传承与创新作为自己的历史使命。近年来，学校重点建设了一批特色鲜明、实力雄厚的人文学科研究基地，促进文物和非物质文化遗产保护。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学校对壮医药进行挖掘研究，挖掘整理了一批以壮医药线点灸为代表的临床诊疗技术，创立了壮药质量标准体系。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国际交流合作广泛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是国家中医药管理局中国—东盟传统医药交流合作中心人才培养基地。学校充分利用自身的办学特色和优势服务国家“一带一路”倡议，积极推进与其他国家在中医药民族医药、医疗保健、人才培养、科研开发等方面的合作交流，形成以东盟国家及港澳台地区为中心、辐射全球的对外教育新格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将秉承“弘毅自强，传承创新”的校训精神，不断提升学校的核心竞争力和办学水平，立足广西、面向全国、辐射东盟、走向世界，力争建设成为以中医中药学科为主体，医、理、工、管兼容，产学研结合突出、民族医药特色鲜明、人文精神高贵的国内知名、区域一流的综合性中医药大学，成为培养综合素质高、创新创业能力强的应用型中医药民族医药人才及其他复合型人才的重要基地，成为壮瑶等民族医药科研创新及其文化传播中心，成为促进区域医疗健康产业发展的主要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rFonts w:hint="eastAsia"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bdr w:val="none" w:color="auto" w:sz="0" w:space="0"/>
          <w:shd w:val="clear" w:fill="7B6642"/>
        </w:rPr>
        <w:t>二、基本条件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(一)遵守中华人民共和国宪法和法律，热爱高等教育事业;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(二)品行良好，具有良好的团队协作精神;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(三)身体健康，具备岗位要求的条件;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(四)具有博士学位(含2022年12月30日前取得博士学位者);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(五)年龄原则上不超过50岁(时间计算到本次招聘报名截止日，对年龄有特别要求的岗位，以招聘岗位要求为准，高层次领军人才可适当放宽);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(六)具有下列情形之一的人员，不得报考: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1.受到党纪、政纪处分未解除者;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2.受刑事处罚或正在接受司法调查尚未做出结论的人员;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4.法律规定不得招聘为事业单位工作人员的其他情形的人员。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三、高层次人才团队及领军人才的引进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(一)引进方式：全职或柔性引进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(二)范围及待遇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学校根据“双一流”学科建设和高层次人才队伍建设的需要，引进中医学、中药学、中西医结合等相关学科的高层次人才团队1-2个。引进的具体条件及待遇面议。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领军人才：在国(境)内外学术界具有较高学术地位的知名专家，在本学科专业领域有突出学术成就，具备领导本学科赶超国(境)内外先进水平的能力，具有高级职称及博士学位。引进的具体条件及待遇面议。具有下列条件之一者，优先考虑：</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7700"/>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PrEx>
        <w:tc>
          <w:tcPr>
            <w:tcW w:w="1042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第一类：两院院士，中国社会科学院学部委员，中国中医科学院学部委员，国家高等学校一级教授，国务院学科评议组召集人，教育部高等学校教学指导委员会主任委员、副主任委员。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第二类：入选（获得）过国家中组部、科技部、教育部、中医药管理局等部委局的国家级高层次人才培养计划（含重点领域创新团队）或荣誉称号，如国医大师、长江学者、全国名中医、岐黄学者、百千万人才工程国家级人选、中国科学院“百人计划”人选等；国务院学科评议组成员，教育部高等学校教学指导委员会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第三类：担任过国家级科研平台（载体）负责人，如国家（重点）实验室主任、国家工程实验室主任等；或主持承担过国家（国家自然科学基金、社会科学基金）重大（重点）科研项目、创新研究群体、杰出青年、优秀青年项目等高水平科研项目，如国家重点研发计划项目负责人、国家自然科学基金重大研究计划项目主持人、国家社会科学基金重大项目首席专家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第四类：以第一完成人获得过国家科学技术奖、自然科学奖、技术发明奖、科技进步奖、教学成果奖等高水平科研教学类奖励一、二等奖或以第一完成人获得过国家社会科学基金项目优秀成果特别荣誉奖、专著类一等奖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第五类：入选过省级重大重点人才培养计划，如八桂学者、特聘专家、广西医学高层次人才培养计划领军人才等；或担任省级科研平台（载体）负责人或国家级科研平台（载体）副主任，如广西重点实验室主任、工程技术研究中心主任、国家（重点）实验室副主任等；或以第一完成人获得省部级科学技术奖（含自然科学奖、技术发明奖、科技进步奖、非论文类的哲学社会科学奖）一等奖；或主持承担过国家科技重大专项课题、国家科技支撑（攻关）计划项目课题（不含子项目、子课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(三)引进程序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1.报名时间：</w:t>
      </w:r>
      <w:r>
        <w:rPr>
          <w:rFonts w:hint="eastAsia" w:ascii="微软雅黑" w:hAnsi="微软雅黑" w:eastAsia="微软雅黑" w:cs="微软雅黑"/>
          <w:i w:val="0"/>
          <w:iCs w:val="0"/>
          <w:caps w:val="0"/>
          <w:color w:val="000000"/>
          <w:spacing w:val="0"/>
          <w:sz w:val="21"/>
          <w:szCs w:val="21"/>
          <w:bdr w:val="none" w:color="auto" w:sz="0" w:space="0"/>
          <w:shd w:val="clear" w:fill="FFFFFF"/>
        </w:rPr>
        <w:t>即日起至2022年12月30日。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2.报名方式</w:t>
      </w:r>
      <w:r>
        <w:rPr>
          <w:rFonts w:hint="eastAsia" w:ascii="微软雅黑" w:hAnsi="微软雅黑" w:eastAsia="微软雅黑" w:cs="微软雅黑"/>
          <w:i w:val="0"/>
          <w:iCs w:val="0"/>
          <w:caps w:val="0"/>
          <w:color w:val="000000"/>
          <w:spacing w:val="0"/>
          <w:sz w:val="21"/>
          <w:szCs w:val="21"/>
          <w:bdr w:val="none" w:color="auto" w:sz="0" w:space="0"/>
          <w:shd w:val="clear" w:fill="FFFFFF"/>
        </w:rPr>
        <w:t>(可选择以下两种方式报名)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(1)网上投递：团队或个人相关简历材料及证明、聘期工作计划等文件电子版统一发送到邮箱：gzyrsc2018@163.com。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(2)现场报名：将团队或个人相关简历材料及证明、聘期工作计划等交到广西中医药大学人事处，进行现场报名。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3.资格审查。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人事处会同相关单位(部门)对应聘团队或个人材料初步审核，并提出审核意见。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4.人才评议。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由学校组织人才工作专家根据应聘材料对其学术水平、思想道德水平、业务能力、发展潜力和工作计划等进行评议，根据评议结果，形成人才引进方案报校领导审定。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5.签订合同。</w:t>
      </w:r>
      <w:r>
        <w:rPr>
          <w:rFonts w:hint="eastAsia" w:ascii="微软雅黑" w:hAnsi="微软雅黑" w:eastAsia="微软雅黑" w:cs="微软雅黑"/>
          <w:i w:val="0"/>
          <w:iCs w:val="0"/>
          <w:caps w:val="0"/>
          <w:color w:val="000000"/>
          <w:spacing w:val="0"/>
          <w:sz w:val="21"/>
          <w:szCs w:val="21"/>
          <w:bdr w:val="none" w:color="auto" w:sz="0" w:space="0"/>
          <w:shd w:val="clear" w:fill="FFFFFF"/>
        </w:rPr>
        <w:t>学校与引进人才签订引进合同并办理有关手续。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rFonts w:hint="eastAsia"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bdr w:val="none" w:color="auto" w:sz="0" w:space="0"/>
          <w:shd w:val="clear" w:fill="7B6642"/>
        </w:rPr>
        <w:t>四、博士的引进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(一)招聘的</w:t>
      </w:r>
      <w:r>
        <w:rPr>
          <w:rFonts w:hint="eastAsia" w:ascii="微软雅黑" w:hAnsi="微软雅黑" w:eastAsia="微软雅黑" w:cs="微软雅黑"/>
          <w:i w:val="0"/>
          <w:iCs w:val="0"/>
          <w:caps w:val="0"/>
          <w:color w:val="4B4B4B"/>
          <w:spacing w:val="0"/>
          <w:u w:val="none"/>
          <w:bdr w:val="none" w:color="auto" w:sz="0" w:space="0"/>
          <w:shd w:val="clear" w:fill="FFFFFF"/>
        </w:rPr>
        <w:fldChar w:fldCharType="begin"/>
      </w:r>
      <w:r>
        <w:rPr>
          <w:rFonts w:hint="eastAsia" w:ascii="微软雅黑" w:hAnsi="微软雅黑" w:eastAsia="微软雅黑" w:cs="微软雅黑"/>
          <w:i w:val="0"/>
          <w:iCs w:val="0"/>
          <w:caps w:val="0"/>
          <w:color w:val="4B4B4B"/>
          <w:spacing w:val="0"/>
          <w:u w:val="none"/>
          <w:bdr w:val="none" w:color="auto" w:sz="0" w:space="0"/>
          <w:shd w:val="clear" w:fill="FFFFFF"/>
        </w:rPr>
        <w:instrText xml:space="preserve"> HYPERLINK "http://www.gxszw.com/boshi/" \t "https://www.gxszw.com/zhaopin/gxzyy/_blank" </w:instrText>
      </w:r>
      <w:r>
        <w:rPr>
          <w:rFonts w:hint="eastAsia" w:ascii="微软雅黑" w:hAnsi="微软雅黑" w:eastAsia="微软雅黑" w:cs="微软雅黑"/>
          <w:i w:val="0"/>
          <w:iCs w:val="0"/>
          <w:caps w:val="0"/>
          <w:color w:val="4B4B4B"/>
          <w:spacing w:val="0"/>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u w:val="single"/>
          <w:bdr w:val="none" w:color="auto" w:sz="0" w:space="0"/>
          <w:shd w:val="clear" w:fill="FFFFFF"/>
        </w:rPr>
        <w:t>博士人才</w:t>
      </w:r>
      <w:r>
        <w:rPr>
          <w:rFonts w:hint="eastAsia" w:ascii="微软雅黑" w:hAnsi="微软雅黑" w:eastAsia="微软雅黑" w:cs="微软雅黑"/>
          <w:i w:val="0"/>
          <w:iCs w:val="0"/>
          <w:caps w:val="0"/>
          <w:color w:val="4B4B4B"/>
          <w:spacing w:val="0"/>
          <w:u w:val="none"/>
          <w:bdr w:val="none" w:color="auto" w:sz="0" w:space="0"/>
          <w:shd w:val="clear" w:fill="FFFFFF"/>
        </w:rPr>
        <w:fldChar w:fldCharType="end"/>
      </w:r>
      <w:r>
        <w:rPr>
          <w:rFonts w:hint="eastAsia" w:ascii="微软雅黑" w:hAnsi="微软雅黑" w:eastAsia="微软雅黑" w:cs="微软雅黑"/>
          <w:i w:val="0"/>
          <w:iCs w:val="0"/>
          <w:caps w:val="0"/>
          <w:color w:val="000000"/>
          <w:spacing w:val="0"/>
          <w:bdr w:val="none" w:color="auto" w:sz="0" w:space="0"/>
          <w:shd w:val="clear" w:fill="FFFFFF"/>
        </w:rPr>
        <w:t>层次</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23"/>
        <w:gridCol w:w="15077"/>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b/>
                <w:bCs/>
                <w:i w:val="0"/>
                <w:iCs w:val="0"/>
                <w:caps w:val="0"/>
                <w:color w:val="000000"/>
                <w:spacing w:val="0"/>
                <w:sz w:val="21"/>
                <w:szCs w:val="21"/>
                <w:bdr w:val="none" w:color="auto" w:sz="0" w:space="0"/>
              </w:rPr>
              <w:t>人才层次</w:t>
            </w:r>
          </w:p>
        </w:tc>
        <w:tc>
          <w:tcPr>
            <w:tcW w:w="888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b/>
                <w:bCs/>
                <w:i w:val="0"/>
                <w:iCs w:val="0"/>
                <w:caps w:val="0"/>
                <w:color w:val="000000"/>
                <w:spacing w:val="0"/>
                <w:sz w:val="21"/>
                <w:szCs w:val="21"/>
                <w:bdr w:val="none" w:color="auto" w:sz="0" w:space="0"/>
              </w:rPr>
              <w:t>条件</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rFonts w:hint="eastAsia" w:ascii="微软雅黑" w:hAnsi="微软雅黑" w:eastAsia="微软雅黑" w:cs="微软雅黑"/>
                <w:i w:val="0"/>
                <w:iCs w:val="0"/>
                <w:caps w:val="0"/>
                <w:color w:val="000000"/>
                <w:spacing w:val="0"/>
                <w:sz w:val="21"/>
                <w:szCs w:val="21"/>
                <w:bdr w:val="none" w:color="auto" w:sz="0" w:space="0"/>
              </w:rPr>
              <w:t>拔尖人才</w:t>
            </w:r>
          </w:p>
        </w:tc>
        <w:tc>
          <w:tcPr>
            <w:tcW w:w="8880"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具有较高学术造诣，在本学科领域有突出学术成就，能够带领、指导和组织有关人员开展学术研究，并取得研究成果的专家。拔尖人才应原则上应具有高级职称及博士学位，特别优秀的博士可放宽职称限制。同时应具备以下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五年内（报到时间往前推算五年）获得1项国家级科技奖奖励（排名前十）；或获得1项省部级科技奖奖励（排名第1）；或获得2项省部级科技奖奖励（其中一等奖排名第2—第7，二等奖排名前5，三等奖排名前3）；或由政府颁发的省部级社科科研成果奖（非论文类）一等奖（排名第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2.五年内（报到时间往前推算五年）主持并完成1项国家级科研项目，通过相应主管部门验收，并取得一定科研成果。</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54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rFonts w:hint="eastAsia" w:ascii="微软雅黑" w:hAnsi="微软雅黑" w:eastAsia="微软雅黑" w:cs="微软雅黑"/>
                <w:i w:val="0"/>
                <w:iCs w:val="0"/>
                <w:caps w:val="0"/>
                <w:color w:val="000000"/>
                <w:spacing w:val="0"/>
                <w:sz w:val="21"/>
                <w:szCs w:val="21"/>
                <w:bdr w:val="none" w:color="auto" w:sz="0" w:space="0"/>
              </w:rPr>
              <w:t>博士</w:t>
            </w:r>
          </w:p>
        </w:tc>
        <w:tc>
          <w:tcPr>
            <w:tcW w:w="8880"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博士应具备博士研究生学历学位，年龄原则上不超过45岁，近五年以第一作者或通讯作者在本学科领域发表高水平学术论文，具有较强的实践能力和创新能力。</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(二)招聘岗位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我校面向国内外公开招聘各层次博士113名。具体岗位及相关要求详见《广西中医药大学2022年公开招聘博士计划表》(附件1)。</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59"/>
        <w:gridCol w:w="1181"/>
        <w:gridCol w:w="1876"/>
        <w:gridCol w:w="1677"/>
        <w:gridCol w:w="634"/>
        <w:gridCol w:w="893"/>
        <w:gridCol w:w="1980"/>
        <w:gridCol w:w="3287"/>
        <w:gridCol w:w="1248"/>
        <w:gridCol w:w="832"/>
        <w:gridCol w:w="843"/>
        <w:gridCol w:w="1938"/>
        <w:gridCol w:w="752"/>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trPr>
        <w:tc>
          <w:tcPr>
            <w:tcW w:w="63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序号</w:t>
            </w:r>
          </w:p>
        </w:tc>
        <w:tc>
          <w:tcPr>
            <w:tcW w:w="148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单位（部门）</w:t>
            </w:r>
          </w:p>
        </w:tc>
        <w:tc>
          <w:tcPr>
            <w:tcW w:w="23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科室/教研室</w:t>
            </w:r>
          </w:p>
        </w:tc>
        <w:tc>
          <w:tcPr>
            <w:tcW w:w="211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岗位名称</w:t>
            </w:r>
          </w:p>
        </w:tc>
        <w:tc>
          <w:tcPr>
            <w:tcW w:w="73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岗位代码</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岗位类别</w:t>
            </w:r>
          </w:p>
        </w:tc>
        <w:tc>
          <w:tcPr>
            <w:tcW w:w="261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工作内容</w:t>
            </w:r>
          </w:p>
        </w:tc>
        <w:tc>
          <w:tcPr>
            <w:tcW w:w="436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专业</w:t>
            </w:r>
          </w:p>
        </w:tc>
        <w:tc>
          <w:tcPr>
            <w:tcW w:w="1665"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学历学位</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职称</w:t>
            </w:r>
          </w:p>
        </w:tc>
        <w:tc>
          <w:tcPr>
            <w:tcW w:w="108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年龄</w:t>
            </w:r>
          </w:p>
        </w:tc>
        <w:tc>
          <w:tcPr>
            <w:tcW w:w="255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其他</w:t>
            </w:r>
          </w:p>
        </w:tc>
        <w:tc>
          <w:tcPr>
            <w:tcW w:w="900" w:type="dxa"/>
            <w:tcBorders>
              <w:top w:val="outset" w:color="auto" w:sz="6" w:space="0"/>
              <w:left w:val="outset" w:color="auto" w:sz="6" w:space="0"/>
              <w:bottom w:val="single" w:color="CCCCCC" w:sz="6" w:space="0"/>
              <w:right w:val="single" w:color="CCCCCC" w:sz="6" w:space="0"/>
            </w:tcBorders>
            <w:shd w:val="clear" w:color="auto" w:fill="F4F9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t>拟增人员数量</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基础医学院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温病学教研室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温病学教师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中医临床基础</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本科需为中医学专业</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中医诊断学教研室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中医诊断学教师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中医诊断学、中医内科学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医古文教研室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医古文教师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汉语言文字学、中医医史文献（医古文方向）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中医各家学说教研室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中医各家学说教师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04</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中医医史文献</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生理学教研室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生理学教师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05</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临床医学与医学技术类、基础医学类、生物科学及技术类、中西医结合基础、药理学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要求具有医学背景</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临床中药学学科带头人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06</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负责临床中药学学科建设，临床中药学的教学与科研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中药药理学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中药药理学学科带头人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07</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负责中药药理学学科建设，中药药理学的教学与科研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研究方向为中药药理学</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中药炮制学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中药炮制学学科带头人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08</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负责中药炮制学学科建设，中药炮制学的教学与科研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研究方向为中药炮制学</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药剂学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药剂学学科带头人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09</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负责药剂学学科建设，药剂学的教学与科研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药剂学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药理学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药理学学科带头人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负责药理学学科建设，药理学的教学与科研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药理学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药物分析</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药物分析学学科带头人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负责药物分析学学科建设，药物分析的教学与科研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药物分析</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中药鉴定学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生药学学科带头人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负责生药学学科建设，生药学的教学与科研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生药学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药物化学</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药物化学学科带头人</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负责药物化学学科建设，药物化学的教学与科研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药物化学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正高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制药工程教研室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制药工程教师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14</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制药工程</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中共党员优先</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药剂教研室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药剂教师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15</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中药学、药剂学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中共党员优先</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drawing>
                <wp:inline distT="0" distB="0" distL="114300" distR="114300">
                  <wp:extent cx="9525" cy="9525"/>
                  <wp:effectExtent l="0" t="0" r="0" b="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drawing>
                <wp:inline distT="0" distB="0" distL="114300" distR="114300">
                  <wp:extent cx="9525" cy="9525"/>
                  <wp:effectExtent l="0" t="0" r="0" b="0"/>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drawing>
                <wp:inline distT="0" distB="0" distL="114300" distR="114300">
                  <wp:extent cx="9525" cy="9525"/>
                  <wp:effectExtent l="0" t="0" r="0"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中药商品与药事管理教研室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药事管理教师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16</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有“药事管理”专业背景，中共党员优先</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17</w:t>
            </w:r>
          </w:p>
        </w:tc>
        <w:tc>
          <w:tcPr>
            <w:tcW w:w="148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骨伤学院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骨伤学院基础教研室</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中医骨伤教师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17</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中医骨伤科学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18</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基础教研室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针推基础教师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18</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针灸推拿学、推拿、针灸学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针推临床教师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19</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针灸推拿学、推拿、针灸学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w:t>
            </w:r>
          </w:p>
        </w:tc>
        <w:tc>
          <w:tcPr>
            <w:tcW w:w="148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壮医药学院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壮医基础理论教研室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壮医基础理论教师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20</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中医内科、中医基础理论</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21</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护理学院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临床护理教研室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临床护理教师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护理类、临床医学与医学技术类（临床医学、中西医结合临床）、基础医学类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本科或研究生期间专业为医学类专业</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护理人文教研室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护理人文教师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护理类、临床医学与医学技术类（临床医学）、基础医学类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本科或研究生期间专业为医学类专业</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23</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公共卫生与管理学院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信息技术系</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信息技术教师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管理科学与工程类、计算机科学类、电子信息类、数学类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预防医学系</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预防医学教师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24</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公共卫生与预防医学类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心理系/心理健康教育教研室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心理学教师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25</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心理学类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26</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马克思主义学院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毛泽东思想中国特色社会主义理论体系概论教研室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毛泽东思想和中国特色社会主义理论体系概论教师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26</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马克思主义基本原理、马克思主义发展史、马克思主义中国化研究、国外马克思主义研究、思想政治教育、马克思主义理论、中国近现代史基本问题研究</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马克思主义基本原理教研室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马克思主义基本原理教师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27</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教学、科研等</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马克思主义基本原理、马克思主义发展史、马克思主义中国化研究、国外马克思主义研究、思想政治教育、马克思主义理论、中国近现代史基本问题研究</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28</w:t>
            </w:r>
          </w:p>
        </w:tc>
        <w:tc>
          <w:tcPr>
            <w:tcW w:w="148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国际教育学院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教务科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对外汉语教师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28</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专技岗（教学）</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海外华语及华文教学</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汉语国际教育</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29</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科学实验中心</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广西壮瑶药重点实验室（壮瑶药协同创新中心）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科研人员1</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29</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临床医学与医学技术类、中医学类、药学类、基础医学类、化工与制药技术类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学习能力强，能很快融入课题研究，可承受一定的科研压力。</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855"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广西壮族自治区民族药资源与应用工程研究中心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科研人员2</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30</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临床医学与医学技术类、中医学类、药学类、基础医学类、化工与制药技术类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学习能力强，能很快融入课题研究，可承受一定的科研压力。</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中国-东盟传统药物研究国际合作联合实验室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科研人员3</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药理学、生物化学与分子生物学、中药学（中药药理）、病理学与病理生理学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能独立开展科研工作、团队和创新意识较强；应届博士生优先；有海外留学经历优先；发表过1区SCI论文的优先。</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32</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海洋药物研究院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海洋合成生物学研究室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研究室科研人员1</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中药学、海洋化学、化学生物学及相关专业</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海洋药用资源研究室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研究室科研人员2</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专技岗（科研）</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微生物学、海洋生物学、渔业资源及相关专业</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35周岁及以下</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34</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第一临床医学院（第一附属医院）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心血管内科二区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科研专职</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中医、中西医、临床医学心血管病防治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有规培证；要求发表2篇IF值2分以上SCI文章；主持有省级以上科研课题优先。</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肝病二区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肝病二区医师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中医内科、肝病、传染病方向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中医内科、中西医结合临床、临床医学（以上专业均要求肾病学方向）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内分泌科    </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内分泌科医师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中医内科、内分泌专业</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介入科 </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介入科医师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血管介入</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呼吸与危重症医学科  </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呼吸与危重症医学医师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39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呼吸或危重症方向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妇产科学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老年病科、干部病区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老年病科医师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中医或中西医结合专业均可，心血管、呼吸或神经病学方向均可</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耳鼻咽喉头颈外科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耳鼻咽喉头颈外科医师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耳鼻咽喉科学（中医或西医）</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泌尿外科  </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泌尿外科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有规培证；具备较强的科研能力。</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骨科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骨科医师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骨科（脊柱方向）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儿科医师/科研专职</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中医儿科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急诊、感染性疾病科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急诊、感染性疾病科医师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中、西医临床医学或急诊医学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康复医学科  （东葛）</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康复医学科  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康复医学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副高</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推拿科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推拿科医师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中医治未病中心/中医健康管理中心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中医治未病中心医师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针灸推拿、中医养生学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放射科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放射科医师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影像医学与核医学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心血管科、呼吸内科（仙葫）</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妇产科（仙葫）</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妇产科医师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中医妇科学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颅脑外科（仙葫）</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颅脑外科医师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神经外科、神经介入（神经内科、神经外科）、外科学、中医外科、中西医结合临床</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初级</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有规培证。</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科研部分子生物学实验室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行政人员</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行政管理</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中医基础、医学统计学、分子生物学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255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通过英语六级。</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55</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瑞康临床医学院（附属瑞康医院）</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眼科</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眼科医师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眼科学、中医眼科学、中西医结合临床</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耳鼻咽喉头颈外科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耳鼻咽喉头颈外科医师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产科</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产科医师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临床医学、中西医结合、妇产科学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妇科一区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妇科一区医师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妇产科学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59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中医、中西医结合临床、临床医学（生殖内分泌、不孕不育、月经病等方向）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肝胆腺体周围血管病外科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肝胆腺体周围血管病外科医师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肛肠科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肛肠科医师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胃肠外科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胃肠外科医师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外科学（普外、胃肠、肛肠方向）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神经外科</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神经外科医师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外科学（神经外科方向）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胸心血管外科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胸心血管外科医师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外科学（胸心外科方向）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脊柱外科二区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脊柱外科二区医师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外科学（脊柱外科）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创伤骨科与手外科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创伤骨科与手外科医师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外科学（创伤方向）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关节与运动医学科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关节与运动医学科医师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临床医学、中西医结合、中医骨伤科学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泌尿外科一、二区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泌尿外科一、二区医师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外科学（泌尿外科）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泌尿三区（移植病区）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泌尿三区（移植病区）医师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69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外科学（泌尿或器官移植方向）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手术麻醉科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手术麻醉科医师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临床医学、麻醉学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肾内科、血液透析中心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肾内科、血液透析中心医师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中医内科学、中西医结合、内科学（肾脏病学）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风湿免疫科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风湿免疫科医师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中西医结合临床（风湿病方向）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消化内科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消化内科医师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中医内科学、中西结合临床、临床医学（消化内科方向）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肝病内科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肝病内科医师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临床医学、中西医结合临床（肝病、传染病方向）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脑病科二区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脑病科二区医师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神经内科、中医内科学、中西医结合临床（神经病学方向）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康复医学科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康复医学科医师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中医内科学（脑病方向）、中西医结合临床（脑病方向）、康复医学、内科学（神经内科方向）、针灸推拿学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心血管内科二区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心血管内科二区医师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77</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内科学（心血管疾病方向、介入方向）、中医内科学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老年病科</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老年病科医师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78</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内科学（心血管、神经内科、呼吸内科、内分泌等方向）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呼吸与危重症医学科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呼吸与危重症医学科医师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79</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内科学（呼吸内科）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重症医学科一区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重症医学科一区医师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80</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临床医学（重症、急诊、呼吸、心血管方向)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重症医学科二区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重症医学科二区医师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81</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呼吸内科、重症医学、急诊医学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82</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儿科学、临床医学（新生儿方向）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83</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针灸推拿学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检验科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检验科技师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84</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医学检验或分子生物学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药学部</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药学部药师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85</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药物研发中心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科研人员</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86</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中药学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87</w:t>
            </w:r>
          </w:p>
        </w:tc>
        <w:tc>
          <w:tcPr>
            <w:tcW w:w="1485" w:type="dxa"/>
            <w:vMerge w:val="restart"/>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壮医临床医学院（广西国际壮医医院）</w:t>
            </w: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脾胃肝病科一区</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脾胃肝病科一区医师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87</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内科学（消化方向）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主治医师及以上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肾病科（含血液净化室）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肾病科（含血液净化室）医师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88</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内科学/中医内科学/中西医结合临床（肾病方向）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肺病科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肺病科医师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89</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内科学/中医内科学（肺病、呼吸、重症方向）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风湿病科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风湿病科医师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90</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内科学/中医内科学（风湿免疫方向）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肿瘤科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肿瘤科医师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肿瘤学（放疗方向）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内分泌代谢病科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内分泌代谢病科医师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中医内科学（内分泌方向）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胃结直肠外科（含胰腺、甲状腺、疝）</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胃结直肠外科（含胰腺、甲状腺、疝）医师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外科学（胃结直肠、甲状腺方向）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94</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乳腺病科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乳腺病科</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94</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外科学（乳腺病方向）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95</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麻醉科（含手术室）</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麻醉科（含手术室）医师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95</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麻醉学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96</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皮肤科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皮肤科医师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96</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中医外科学（皮肤病方向）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97</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妇科医师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97</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中医妇科学/妇产科学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98</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儿科（含新生儿科）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儿科（含新生儿科）医师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98</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儿科学/中医儿科学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主治医师及以上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99</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耳鼻喉科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耳鼻喉科医师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99</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耳鼻咽喉科学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45周岁及以下</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100</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治未病中心</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治未病中心医师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100</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中医内科学、壮医学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101</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放射科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放射科技师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101</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影像医学与核医学（放射方向）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102</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病理科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病理科医师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102</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临床医学、病理学与病理生理学</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63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103</w:t>
            </w:r>
          </w:p>
        </w:tc>
        <w:tc>
          <w:tcPr>
            <w:tcW w:w="1485" w:type="dxa"/>
            <w:vMerge w:val="continue"/>
            <w:tcBorders>
              <w:top w:val="outset" w:color="auto" w:sz="6" w:space="0"/>
              <w:left w:val="outset" w:color="auto" w:sz="6" w:space="0"/>
              <w:bottom w:val="single" w:color="CCCCCC" w:sz="6" w:space="0"/>
              <w:right w:val="single" w:color="CCCCCC" w:sz="6" w:space="0"/>
            </w:tcBorders>
            <w:shd w:val="clear" w:color="auto" w:fill="FFFFFF"/>
            <w:vAlign w:val="center"/>
          </w:tcPr>
          <w:p>
            <w:pPr>
              <w:jc w:val="center"/>
              <w:rPr>
                <w:rFonts w:hint="eastAsia" w:ascii="微软雅黑" w:hAnsi="微软雅黑" w:eastAsia="微软雅黑" w:cs="微软雅黑"/>
                <w:i w:val="0"/>
                <w:iCs w:val="0"/>
                <w:caps w:val="0"/>
                <w:color w:val="000000"/>
                <w:spacing w:val="0"/>
                <w:sz w:val="21"/>
                <w:szCs w:val="21"/>
              </w:rPr>
            </w:pPr>
          </w:p>
        </w:tc>
        <w:tc>
          <w:tcPr>
            <w:tcW w:w="23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超声科</w:t>
            </w:r>
          </w:p>
        </w:tc>
        <w:tc>
          <w:tcPr>
            <w:tcW w:w="211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超声科技师</w:t>
            </w:r>
          </w:p>
        </w:tc>
        <w:tc>
          <w:tcPr>
            <w:tcW w:w="73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103</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专技岗</w:t>
            </w:r>
          </w:p>
        </w:tc>
        <w:tc>
          <w:tcPr>
            <w:tcW w:w="261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临床、教学、科研</w:t>
            </w:r>
          </w:p>
        </w:tc>
        <w:tc>
          <w:tcPr>
            <w:tcW w:w="43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影像医学与核医学（肌肉骨骼超声方向、妇产科超声方向）</w:t>
            </w:r>
          </w:p>
        </w:tc>
        <w:tc>
          <w:tcPr>
            <w:tcW w:w="1665"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博士研究生</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住院医师及以上</w:t>
            </w:r>
          </w:p>
        </w:tc>
        <w:tc>
          <w:tcPr>
            <w:tcW w:w="108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无</w:t>
            </w:r>
          </w:p>
        </w:tc>
        <w:tc>
          <w:tcPr>
            <w:tcW w:w="900" w:type="dxa"/>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1" w:hRule="atLeast"/>
        </w:trPr>
        <w:tc>
          <w:tcPr>
            <w:tcW w:w="0" w:type="auto"/>
            <w:gridSpan w:val="12"/>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合计</w:t>
            </w:r>
          </w:p>
        </w:tc>
        <w:tc>
          <w:tcPr>
            <w:tcW w:w="0" w:type="auto"/>
            <w:tcBorders>
              <w:top w:val="outset" w:color="auto" w:sz="6" w:space="0"/>
              <w:left w:val="outset" w:color="auto"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113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(二)引进程序和方式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1.报名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(1)报名时间：即日起即可报名，报名截止时间为2022年12月30日。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(2)报名方式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可选择以下两种方式报名：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①网上投递(邮件名统一命名为“姓名 + 应聘岗位名称”)：应聘者均需将《广西中医药大学2022年公开招聘博士报名登记表》 (附件2) 及《广西中医药大学2022年公开招聘博士报名汇总表》(附件3)及个人相关简历材料电子版统一发送到邮箱：gzyrsc2018@163.com。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②现场报名：将个人简历交到学校人事处，进行现场报名。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2.资格审查及考核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(1)报名后，我校将对报名者的材料进行初审，符合条件人员由具体的用人单位通知参加考核。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(2)考核可采取技能操作、笔试、试讲、面试等不同形式，具体考核形式、考核时间、考核地点由用人单位电话通知应聘人员。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(3)本次公开招聘博士将根据岗位报名情况，在报名期间进行多批次考核并择优录用(直至录满为止，岗位录满后将不再安排考核)。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3.政审及体检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对拟录用人员进行的政审主要考察拟录用人员的政治思想、道德品质等情况，同时对资格条件进行复核。若政审不合格，则取消录用资格。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拟录用人员须参加体检，体检标准参照公务员录用体检标准执行。若体检不合格，则取消录用资格。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4.确定拟聘人员名单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学校党政领导在听取人事处汇报的基础上，对拟录用人员的综合考评结果及用人单位意见、考察情况进行充分研究后，确定拟聘人员名单。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5.公示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上述程序结束后将及时在广西中医药大学网站公告栏对拟聘人员名单进行公示，公示期为7个工作日。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6.签订合同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(1)公示结束无异议后，签订聘用合同。如受聘人员无法按期到岗或签合同时无法提供相应学历、学位证等材料，则取消其录用资格。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(2)引进的博士在入职报到后，需签订引进博士合同书，约定的服务期限为5年，按合同书约定享受相应的权力，履行相应的义务，承担违约所造成的后果。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480" w:lineRule="atLeast"/>
        <w:ind w:left="0" w:right="0" w:firstLine="42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bdr w:val="none" w:color="auto" w:sz="0" w:space="0"/>
          <w:shd w:val="clear" w:fill="FFFFFF"/>
        </w:rPr>
        <w:t>(三)引进博士待遇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1.工资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具有副高及以上职称博士按其职称参照学校同级别岗位享受相应的工资福利待遇，无职称或具有中级及以下职称博士参照学校中级岗位享受相应的工资福利待遇。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2.安家费及科研启动经费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学校本部录用的博士，根据不同层次给予30-80万元安家费，安家费发放形式：分五年逐月发放。附属医院录用的博士，其安家费核定及发放按照附属医院安家费政策执行，具体面谈。 </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88"/>
        <w:gridCol w:w="8589"/>
        <w:gridCol w:w="7023"/>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b/>
                <w:bCs/>
                <w:i w:val="0"/>
                <w:iCs w:val="0"/>
                <w:caps w:val="0"/>
                <w:color w:val="000000"/>
                <w:spacing w:val="0"/>
                <w:sz w:val="21"/>
                <w:szCs w:val="21"/>
                <w:bdr w:val="none" w:color="auto" w:sz="0" w:space="0"/>
              </w:rPr>
              <w:t>人才层次</w:t>
            </w:r>
          </w:p>
        </w:tc>
        <w:tc>
          <w:tcPr>
            <w:tcW w:w="49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b/>
                <w:bCs/>
                <w:i w:val="0"/>
                <w:iCs w:val="0"/>
                <w:caps w:val="0"/>
                <w:color w:val="000000"/>
                <w:spacing w:val="0"/>
                <w:sz w:val="21"/>
                <w:szCs w:val="21"/>
                <w:bdr w:val="none" w:color="auto" w:sz="0" w:space="0"/>
              </w:rPr>
              <w:t>安家费（税前）</w:t>
            </w:r>
          </w:p>
        </w:tc>
        <w:tc>
          <w:tcPr>
            <w:tcW w:w="403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b/>
                <w:bCs/>
                <w:i w:val="0"/>
                <w:iCs w:val="0"/>
                <w:caps w:val="0"/>
                <w:color w:val="000000"/>
                <w:spacing w:val="0"/>
                <w:sz w:val="21"/>
                <w:szCs w:val="21"/>
                <w:bdr w:val="none" w:color="auto" w:sz="0" w:space="0"/>
              </w:rPr>
              <w:t>科研启动经费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rFonts w:hint="eastAsia" w:ascii="微软雅黑" w:hAnsi="微软雅黑" w:eastAsia="微软雅黑" w:cs="微软雅黑"/>
                <w:i w:val="0"/>
                <w:iCs w:val="0"/>
                <w:caps w:val="0"/>
                <w:color w:val="000000"/>
                <w:spacing w:val="0"/>
                <w:sz w:val="21"/>
                <w:szCs w:val="21"/>
                <w:bdr w:val="none" w:color="auto" w:sz="0" w:space="0"/>
              </w:rPr>
              <w:t>拔尖人才</w:t>
            </w:r>
          </w:p>
        </w:tc>
        <w:tc>
          <w:tcPr>
            <w:tcW w:w="493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60-80万元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（符合拔尖人才1个条件60万元，2个条件70万元，如果属于学校急需紧缺的中医学类、临床医学、中药学、中西医结合、口腔医学、护理学专业的博士则另外增加10万元）</w:t>
            </w:r>
          </w:p>
        </w:tc>
        <w:tc>
          <w:tcPr>
            <w:tcW w:w="403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3-30万元，申报时3-20 万元，中期考核后，根据课题研究开展情况及价值可申请追加经费，最高10万元。</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FFFFFF"/>
          <w:tblCellMar>
            <w:top w:w="0" w:type="dxa"/>
            <w:left w:w="0" w:type="dxa"/>
            <w:bottom w:w="0" w:type="dxa"/>
            <w:right w:w="0" w:type="dxa"/>
          </w:tblCellMar>
        </w:tblPrEx>
        <w:tc>
          <w:tcPr>
            <w:tcW w:w="1200"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rFonts w:hint="eastAsia" w:ascii="微软雅黑" w:hAnsi="微软雅黑" w:eastAsia="微软雅黑" w:cs="微软雅黑"/>
                <w:i w:val="0"/>
                <w:iCs w:val="0"/>
                <w:caps w:val="0"/>
                <w:color w:val="000000"/>
                <w:spacing w:val="0"/>
                <w:sz w:val="21"/>
                <w:szCs w:val="21"/>
                <w:bdr w:val="none" w:color="auto" w:sz="0" w:space="0"/>
              </w:rPr>
              <w:t>博士</w:t>
            </w:r>
          </w:p>
        </w:tc>
        <w:tc>
          <w:tcPr>
            <w:tcW w:w="493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30-40万元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（属于学校急需紧缺的中医学类、临床医学、中药学、中西医结合、口腔医学、护理学专业博士研究生40万元，其他博士研究生30万元）</w:t>
            </w:r>
          </w:p>
        </w:tc>
        <w:tc>
          <w:tcPr>
            <w:tcW w:w="4035" w:type="dxa"/>
            <w:tcBorders>
              <w:top w:val="outset" w:color="auto" w:sz="6" w:space="0"/>
              <w:left w:val="outset" w:color="auto" w:sz="6" w:space="0"/>
              <w:bottom w:val="single" w:color="CCCCCC" w:sz="6" w:space="0"/>
              <w:right w:val="single" w:color="CCCCCC" w:sz="6" w:space="0"/>
            </w:tcBorders>
            <w:shd w:val="clear" w:color="auto" w:fill="FFFF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3-20万元，申报时3-10 万元，中期考核后，根据课题研究开展情况及价值可申请追加经费，最高10万元。</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000000"/>
          <w:spacing w:val="0"/>
          <w:sz w:val="21"/>
          <w:szCs w:val="21"/>
          <w:bdr w:val="none" w:color="auto" w:sz="0" w:space="0"/>
          <w:shd w:val="clear" w:fill="FFFFFF"/>
        </w:rPr>
        <w:t>3. 其它待遇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(1)已报到的人才，主持有国家级科研在研项目的，按有关规定给予硕士研究生导师资格。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(2)学校可协调安排子女到所属学区范围内的幼儿园、中小学就读。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(3)在学校安排考核期间，广西南宁市区以外应聘人员，学校可承担国内往返城市交通费(交通票由学校订购)、1～2晚的住宿费。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(4)所引进的博士，符合自治区高层次人才专项编制条件的按有关文件办理入实名编制手续。其他人员按照实际到校报到上岗时间先后顺序逐步分批办理入实名编制手续。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(5)对于特别优秀的博士研究生，到校工作后，可以优先推荐参加高级职称评审。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(6)拔尖人才的配偶(须具有硕士及以上学位)可安置在学校工作。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rFonts w:hint="eastAsia"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bdr w:val="none" w:color="auto" w:sz="0" w:space="0"/>
          <w:shd w:val="clear" w:fill="7B6642"/>
        </w:rPr>
        <w:t>五、纪律监督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此次高层次人才引进工作严格按照公开、公正、公平、竞争、择优的原则，接受监察部门和社会各界监督。监督电话：0771-3111494。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B6642"/>
        <w:spacing w:before="300" w:beforeAutospacing="0" w:after="300" w:afterAutospacing="0" w:line="525" w:lineRule="atLeast"/>
        <w:ind w:left="0" w:right="0" w:firstLine="315"/>
        <w:rPr>
          <w:rFonts w:hint="eastAsia" w:ascii="微软雅黑" w:hAnsi="微软雅黑" w:eastAsia="微软雅黑" w:cs="微软雅黑"/>
          <w:i w:val="0"/>
          <w:iCs w:val="0"/>
          <w:caps w:val="0"/>
          <w:color w:val="FFFFFF"/>
          <w:spacing w:val="0"/>
          <w:sz w:val="27"/>
          <w:szCs w:val="27"/>
        </w:rPr>
      </w:pPr>
      <w:r>
        <w:rPr>
          <w:rFonts w:hint="eastAsia" w:ascii="微软雅黑" w:hAnsi="微软雅黑" w:eastAsia="微软雅黑" w:cs="微软雅黑"/>
          <w:i w:val="0"/>
          <w:iCs w:val="0"/>
          <w:caps w:val="0"/>
          <w:color w:val="FFFFFF"/>
          <w:spacing w:val="0"/>
          <w:sz w:val="27"/>
          <w:szCs w:val="27"/>
          <w:bdr w:val="none" w:color="auto" w:sz="0" w:space="0"/>
          <w:shd w:val="clear" w:fill="7B6642"/>
        </w:rPr>
        <w:t>六、联系方式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广西中医药大学校园网网址：http://www.gxtcmu.edu.cn。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人事处联系地址：广西南宁市青秀区五合大道13号 广西中医药大学仙葫校区合德楼309室，邮编：530200。电话：0771-3134653。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instrText xml:space="preserve"> HYPERLINK "https://www.gxszw.com/uploads/soft/220406/8-220406160004.xls" \t "https://www.gxszw.com/zhaopin/gxzyy/_blank"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shd w:val="clear" w:fill="FFFFFF"/>
        </w:rPr>
        <w:t>附件1：广西中医药大学2022年公开招聘博士计划表</w: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instrText xml:space="preserve"> HYPERLINK "https://www.gxszw.com/uploads/soft/220406/8-220406160024.xls" \t "https://www.gxszw.com/zhaopin/gxzyy/_blank"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shd w:val="clear" w:fill="FFFFFF"/>
        </w:rPr>
        <w:t>附件2：广西中医药大学2022年公开招聘博士报名登记表</w: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000000"/>
          <w:spacing w:val="0"/>
          <w:sz w:val="21"/>
          <w:szCs w:val="21"/>
        </w:rPr>
      </w:pP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instrText xml:space="preserve"> HYPERLINK "https://www.gxszw.com/uploads/soft/220406/8-220406160044.xls" \t "https://www.gxszw.com/zhaopin/gxzyy/_blank"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shd w:val="clear" w:fill="FFFFFF"/>
        </w:rPr>
        <w:t>附件3：广西中医药大学2022年公开招聘博士报名汇总表</w:t>
      </w:r>
      <w:r>
        <w:rPr>
          <w:rStyle w:val="11"/>
          <w:rFonts w:hint="eastAsia" w:ascii="微软雅黑" w:hAnsi="微软雅黑" w:eastAsia="微软雅黑" w:cs="微软雅黑"/>
          <w:i w:val="0"/>
          <w:iCs w:val="0"/>
          <w:caps w:val="0"/>
          <w:color w:val="4B4B4B"/>
          <w:spacing w:val="0"/>
          <w:sz w:val="21"/>
          <w:szCs w:val="21"/>
          <w:u w:val="non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000000"/>
          <w:sz w:val="21"/>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Style w:val="11"/>
          <w:rFonts w:ascii="微软雅黑" w:hAnsi="微软雅黑" w:eastAsia="微软雅黑" w:cs="微软雅黑"/>
          <w:i w:val="0"/>
          <w:iCs w:val="0"/>
          <w:caps w:val="0"/>
          <w:color w:val="FF0000"/>
          <w:spacing w:val="0"/>
          <w:sz w:val="30"/>
          <w:szCs w:val="30"/>
          <w:shd w:val="clear" w:fill="F3F3EB"/>
        </w:rPr>
        <w:t>QQ博士交流群：423550956</w:t>
      </w:r>
      <w:r>
        <w:rPr>
          <w:rFonts w:hint="default" w:ascii="Verdana" w:hAnsi="Verdana" w:eastAsia="宋体" w:cs="Verdana"/>
          <w:i w:val="0"/>
          <w:iCs w:val="0"/>
          <w:caps w:val="0"/>
          <w:color w:val="333333"/>
          <w:spacing w:val="0"/>
          <w:sz w:val="24"/>
          <w:szCs w:val="24"/>
        </w:rPr>
        <w:t>，</w:t>
      </w:r>
      <w:r>
        <w:rPr>
          <w:rStyle w:val="11"/>
          <w:rFonts w:hint="eastAsia" w:ascii="宋体" w:hAnsi="宋体" w:eastAsia="宋体" w:cs="宋体"/>
          <w:i w:val="0"/>
          <w:iCs w:val="0"/>
          <w:caps w:val="0"/>
          <w:color w:val="FF0000"/>
          <w:spacing w:val="0"/>
          <w:sz w:val="36"/>
          <w:szCs w:val="36"/>
          <w:shd w:val="clear" w:fill="F3F3EB"/>
        </w:rPr>
        <w:t>QQ硕士交流群</w:t>
      </w:r>
      <w:r>
        <w:rPr>
          <w:rStyle w:val="11"/>
          <w:rFonts w:ascii="Arial" w:hAnsi="Arial" w:eastAsia="宋体" w:cs="Arial"/>
          <w:i w:val="0"/>
          <w:iCs w:val="0"/>
          <w:caps w:val="0"/>
          <w:color w:val="FF0000"/>
          <w:spacing w:val="0"/>
          <w:sz w:val="36"/>
          <w:szCs w:val="36"/>
          <w:shd w:val="clear" w:fill="F3F3EB"/>
        </w:rPr>
        <w:t>： </w:t>
      </w:r>
      <w:r>
        <w:rPr>
          <w:rFonts w:hint="default" w:ascii="Verdana" w:hAnsi="Verdana" w:eastAsia="宋体" w:cs="Verdana"/>
          <w:i w:val="0"/>
          <w:iCs w:val="0"/>
          <w:caps w:val="0"/>
          <w:color w:val="FF0000"/>
          <w:spacing w:val="0"/>
          <w:sz w:val="36"/>
          <w:szCs w:val="36"/>
          <w:shd w:val="clear" w:fill="F3F3EB"/>
        </w:rPr>
        <w:t>223486794</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11104880" cy="5010150"/>
            <wp:effectExtent l="0" t="0" r="1270" b="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6"/>
                    <a:srcRect/>
                    <a:stretch>
                      <a:fillRect/>
                    </a:stretch>
                  </pic:blipFill>
                  <pic:spPr>
                    <a:xfrm>
                      <a:off x="0" y="0"/>
                      <a:ext cx="11104880" cy="501015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B0373B9"/>
    <w:rsid w:val="1C59048D"/>
    <w:rsid w:val="1D7A0CFC"/>
    <w:rsid w:val="240E54C6"/>
    <w:rsid w:val="243877C4"/>
    <w:rsid w:val="24901CF7"/>
    <w:rsid w:val="2708689D"/>
    <w:rsid w:val="284852C7"/>
    <w:rsid w:val="28A3523A"/>
    <w:rsid w:val="28B450FC"/>
    <w:rsid w:val="28E50FE4"/>
    <w:rsid w:val="28F940AD"/>
    <w:rsid w:val="29784473"/>
    <w:rsid w:val="29A5786C"/>
    <w:rsid w:val="2AD21EA8"/>
    <w:rsid w:val="2BAB2651"/>
    <w:rsid w:val="2D555DD2"/>
    <w:rsid w:val="312D4CDC"/>
    <w:rsid w:val="317E1E34"/>
    <w:rsid w:val="32A77C15"/>
    <w:rsid w:val="36E84922"/>
    <w:rsid w:val="387E5266"/>
    <w:rsid w:val="38974369"/>
    <w:rsid w:val="39673E7A"/>
    <w:rsid w:val="3A846D97"/>
    <w:rsid w:val="3AB918A1"/>
    <w:rsid w:val="3BB37D4C"/>
    <w:rsid w:val="3C7F11ED"/>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777E53"/>
    <w:rsid w:val="4AE47987"/>
    <w:rsid w:val="4AF01416"/>
    <w:rsid w:val="4C79125D"/>
    <w:rsid w:val="4CA321D6"/>
    <w:rsid w:val="4F551D79"/>
    <w:rsid w:val="52C1090F"/>
    <w:rsid w:val="530B538C"/>
    <w:rsid w:val="5324487A"/>
    <w:rsid w:val="53D0659F"/>
    <w:rsid w:val="54875206"/>
    <w:rsid w:val="56061EFD"/>
    <w:rsid w:val="56B21980"/>
    <w:rsid w:val="57A50FB7"/>
    <w:rsid w:val="57F81DBC"/>
    <w:rsid w:val="58762146"/>
    <w:rsid w:val="58B52EC7"/>
    <w:rsid w:val="5A900BEA"/>
    <w:rsid w:val="5AE16AFA"/>
    <w:rsid w:val="5B3A0978"/>
    <w:rsid w:val="5BCF6CF7"/>
    <w:rsid w:val="5CA83573"/>
    <w:rsid w:val="5CD63BB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840129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2023-01-09T06:13:27Z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